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image/x-wmf" Extension="wmf"/>
  <Default ContentType="application/vnd.ms-excel" Extension="x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B1" w:rsidRPr="00C06F5D" w:rsidRDefault="006516B1">
      <w:pPr>
        <w:rPr>
          <w:rFonts w:ascii="Arial" w:hAnsi="Arial" w:cs="Arial"/>
          <w:b/>
        </w:rPr>
      </w:pPr>
      <w:r w:rsidRPr="00C06F5D">
        <w:rPr>
          <w:rFonts w:ascii="Arial" w:hAnsi="Arial" w:cs="Arial"/>
          <w:b/>
          <w:highlight w:val="yellow"/>
        </w:rPr>
        <w:t>Ausfüllhilfe</w:t>
      </w:r>
      <w:r w:rsidR="00C260E7" w:rsidRPr="00C06F5D">
        <w:rPr>
          <w:rFonts w:ascii="Arial" w:hAnsi="Arial" w:cs="Arial"/>
          <w:b/>
          <w:highlight w:val="yellow"/>
        </w:rPr>
        <w:t xml:space="preserve"> </w:t>
      </w:r>
      <w:r w:rsidR="00AE2525" w:rsidRPr="00C06F5D">
        <w:rPr>
          <w:rFonts w:ascii="Arial" w:hAnsi="Arial" w:cs="Arial"/>
          <w:b/>
          <w:highlight w:val="yellow"/>
        </w:rPr>
        <w:t>Datenfile</w:t>
      </w:r>
    </w:p>
    <w:p w:rsidR="00AE2525" w:rsidRPr="00C06F5D" w:rsidRDefault="00AE2525">
      <w:pPr>
        <w:rPr>
          <w:rFonts w:ascii="Arial" w:hAnsi="Arial" w:cs="Arial"/>
          <w:b/>
          <w:sz w:val="20"/>
          <w:szCs w:val="20"/>
          <w:u w:val="single"/>
        </w:rPr>
      </w:pPr>
    </w:p>
    <w:p w:rsidR="00AE2525" w:rsidRPr="00C06F5D" w:rsidRDefault="00AE2525" w:rsidP="0043021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F5D">
        <w:rPr>
          <w:rFonts w:ascii="Arial" w:hAnsi="Arial" w:cs="Arial"/>
          <w:sz w:val="20"/>
          <w:szCs w:val="20"/>
        </w:rPr>
        <w:t xml:space="preserve">Um Ihnen das Ausfüllen des Datenfiles zu erleichtern, </w:t>
      </w:r>
      <w:r w:rsidR="00430217" w:rsidRPr="00C06F5D">
        <w:rPr>
          <w:rFonts w:ascii="Arial" w:hAnsi="Arial" w:cs="Arial"/>
          <w:sz w:val="20"/>
          <w:szCs w:val="20"/>
        </w:rPr>
        <w:t xml:space="preserve">wurden Rechenschritte soweit als möglich mit </w:t>
      </w:r>
      <w:r w:rsidR="006E2B0C">
        <w:rPr>
          <w:rFonts w:ascii="Arial" w:hAnsi="Arial" w:cs="Arial"/>
          <w:sz w:val="20"/>
          <w:szCs w:val="20"/>
        </w:rPr>
        <w:br/>
      </w:r>
      <w:r w:rsidR="00430217" w:rsidRPr="00C06F5D">
        <w:rPr>
          <w:rFonts w:ascii="Arial" w:hAnsi="Arial" w:cs="Arial"/>
          <w:sz w:val="20"/>
          <w:szCs w:val="20"/>
        </w:rPr>
        <w:t>Formeln hinterlegt</w:t>
      </w:r>
      <w:r w:rsidRPr="00C06F5D">
        <w:rPr>
          <w:rFonts w:ascii="Arial" w:hAnsi="Arial" w:cs="Arial"/>
          <w:sz w:val="20"/>
          <w:szCs w:val="20"/>
        </w:rPr>
        <w:t>. Damit die</w:t>
      </w:r>
      <w:r w:rsidR="00430217" w:rsidRPr="00C06F5D">
        <w:rPr>
          <w:rFonts w:ascii="Arial" w:hAnsi="Arial" w:cs="Arial"/>
          <w:sz w:val="20"/>
          <w:szCs w:val="20"/>
        </w:rPr>
        <w:t>se</w:t>
      </w:r>
      <w:r w:rsidRPr="00C06F5D">
        <w:rPr>
          <w:rFonts w:ascii="Arial" w:hAnsi="Arial" w:cs="Arial"/>
          <w:sz w:val="20"/>
          <w:szCs w:val="20"/>
        </w:rPr>
        <w:t xml:space="preserve"> Formelbezüge nicht irrtümlich gelöscht werden können, ist </w:t>
      </w:r>
      <w:r w:rsidR="00430217" w:rsidRPr="00C06F5D">
        <w:rPr>
          <w:rFonts w:ascii="Arial" w:hAnsi="Arial" w:cs="Arial"/>
          <w:sz w:val="20"/>
          <w:szCs w:val="20"/>
        </w:rPr>
        <w:t>das Arbeitsblatt</w:t>
      </w:r>
      <w:r w:rsidRPr="00C06F5D">
        <w:rPr>
          <w:rFonts w:ascii="Arial" w:hAnsi="Arial" w:cs="Arial"/>
          <w:sz w:val="20"/>
          <w:szCs w:val="20"/>
        </w:rPr>
        <w:t xml:space="preserve"> mit einem  Blattschutz hinterlegt. Nur die für eine </w:t>
      </w:r>
      <w:r w:rsidR="00430217" w:rsidRPr="00C06F5D">
        <w:rPr>
          <w:rFonts w:ascii="Arial" w:hAnsi="Arial" w:cs="Arial"/>
          <w:sz w:val="20"/>
          <w:szCs w:val="20"/>
        </w:rPr>
        <w:t>Datene</w:t>
      </w:r>
      <w:r w:rsidRPr="00C06F5D">
        <w:rPr>
          <w:rFonts w:ascii="Arial" w:hAnsi="Arial" w:cs="Arial"/>
          <w:sz w:val="20"/>
          <w:szCs w:val="20"/>
        </w:rPr>
        <w:t xml:space="preserve">ingabe vorgesehenen Felder bzw. Zellen sind frei </w:t>
      </w:r>
      <w:r w:rsidR="00430217" w:rsidRPr="00C06F5D">
        <w:rPr>
          <w:rFonts w:ascii="Arial" w:hAnsi="Arial" w:cs="Arial"/>
          <w:sz w:val="20"/>
          <w:szCs w:val="20"/>
        </w:rPr>
        <w:t>gesch</w:t>
      </w:r>
      <w:r w:rsidR="009D6E42" w:rsidRPr="00C06F5D">
        <w:rPr>
          <w:rFonts w:ascii="Arial" w:hAnsi="Arial" w:cs="Arial"/>
          <w:sz w:val="20"/>
          <w:szCs w:val="20"/>
        </w:rPr>
        <w:t xml:space="preserve">altet (= gelb markierte Felder </w:t>
      </w:r>
      <w:r w:rsidR="00430217" w:rsidRPr="00C06F5D">
        <w:rPr>
          <w:rFonts w:ascii="Arial" w:hAnsi="Arial" w:cs="Arial"/>
          <w:sz w:val="20"/>
          <w:szCs w:val="20"/>
        </w:rPr>
        <w:t>bzw. Zell</w:t>
      </w:r>
      <w:r w:rsidR="00B054F8" w:rsidRPr="00C06F5D">
        <w:rPr>
          <w:rFonts w:ascii="Arial" w:hAnsi="Arial" w:cs="Arial"/>
          <w:sz w:val="20"/>
          <w:szCs w:val="20"/>
        </w:rPr>
        <w:t xml:space="preserve">en). Des weiteren erlauben wir </w:t>
      </w:r>
      <w:r w:rsidR="00430217" w:rsidRPr="00C06F5D">
        <w:rPr>
          <w:rFonts w:ascii="Arial" w:hAnsi="Arial" w:cs="Arial"/>
          <w:sz w:val="20"/>
          <w:szCs w:val="20"/>
        </w:rPr>
        <w:t>uns darauf hinzuweisen, dass der Ausdruck satzungsgemäß zu unterfertigen ist. Sofern die Satzung die Unterschriftsleistung des Ob</w:t>
      </w:r>
      <w:r w:rsidR="009D6E42" w:rsidRPr="00C06F5D">
        <w:rPr>
          <w:rFonts w:ascii="Arial" w:hAnsi="Arial" w:cs="Arial"/>
          <w:sz w:val="20"/>
          <w:szCs w:val="20"/>
        </w:rPr>
        <w:t>mannes und des Kassiers vorsieht</w:t>
      </w:r>
      <w:r w:rsidR="00430217" w:rsidRPr="00C06F5D">
        <w:rPr>
          <w:rFonts w:ascii="Arial" w:hAnsi="Arial" w:cs="Arial"/>
          <w:sz w:val="20"/>
          <w:szCs w:val="20"/>
        </w:rPr>
        <w:t>, sind beide Unterschriften erforderlich.</w:t>
      </w:r>
    </w:p>
    <w:p w:rsidR="00AE2525" w:rsidRPr="00C06F5D" w:rsidRDefault="00AE2525">
      <w:pPr>
        <w:rPr>
          <w:rFonts w:ascii="Arial" w:hAnsi="Arial" w:cs="Arial"/>
          <w:b/>
          <w:sz w:val="20"/>
          <w:szCs w:val="20"/>
          <w:u w:val="single"/>
        </w:rPr>
      </w:pPr>
    </w:p>
    <w:p w:rsidR="00AE2525" w:rsidRPr="00C06F5D" w:rsidRDefault="00AE2525">
      <w:pPr>
        <w:rPr>
          <w:rFonts w:ascii="Arial" w:hAnsi="Arial" w:cs="Arial"/>
          <w:b/>
          <w:sz w:val="20"/>
          <w:szCs w:val="20"/>
          <w:u w:val="single"/>
        </w:rPr>
      </w:pPr>
    </w:p>
    <w:p w:rsidR="00C06F5D" w:rsidRPr="00C06F5D" w:rsidRDefault="00C06F5D" w:rsidP="00C06F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 xml:space="preserve">1  </w:t>
      </w:r>
      <w:r w:rsidRPr="00C06F5D">
        <w:rPr>
          <w:rFonts w:ascii="Arial" w:hAnsi="Arial" w:cs="Arial"/>
          <w:b/>
          <w:sz w:val="22"/>
          <w:szCs w:val="22"/>
          <w:highlight w:val="lightGray"/>
        </w:rPr>
        <w:t>Was versteht man unter einer Personaleinheit (PE) und wie berechnet man diese?</w:t>
      </w:r>
      <w:r w:rsidRPr="00C06F5D">
        <w:rPr>
          <w:rFonts w:ascii="Arial" w:hAnsi="Arial" w:cs="Arial"/>
          <w:b/>
          <w:sz w:val="22"/>
          <w:szCs w:val="22"/>
        </w:rPr>
        <w:tab/>
      </w:r>
    </w:p>
    <w:p w:rsidR="00C06F5D" w:rsidRPr="00C06F5D" w:rsidRDefault="00C06F5D" w:rsidP="00C06F5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1.1 </w:t>
      </w:r>
      <w:r w:rsidRPr="00C06F5D">
        <w:rPr>
          <w:rFonts w:ascii="Arial" w:hAnsi="Arial" w:cs="Arial"/>
          <w:b/>
          <w:sz w:val="20"/>
          <w:szCs w:val="20"/>
          <w:u w:val="single"/>
        </w:rPr>
        <w:t>Definition:</w:t>
      </w:r>
    </w:p>
    <w:p w:rsidR="00C06F5D" w:rsidRPr="00C06F5D" w:rsidRDefault="00C06F5D" w:rsidP="00C06F5D">
      <w:pPr>
        <w:jc w:val="both"/>
        <w:rPr>
          <w:rFonts w:ascii="Arial" w:hAnsi="Arial" w:cs="Arial"/>
          <w:sz w:val="20"/>
          <w:szCs w:val="20"/>
        </w:rPr>
      </w:pPr>
      <w:r w:rsidRPr="00C06F5D">
        <w:rPr>
          <w:rFonts w:ascii="Arial" w:hAnsi="Arial" w:cs="Arial"/>
          <w:sz w:val="20"/>
          <w:szCs w:val="20"/>
        </w:rPr>
        <w:t xml:space="preserve">Eine Personaleinheit (PE) ist eine Vollzeitäquivalente. Ein Vollzeitäquivalent ist nicht gleichzusetzen mit </w:t>
      </w:r>
      <w:r w:rsidR="006E2B0C">
        <w:rPr>
          <w:rFonts w:ascii="Arial" w:hAnsi="Arial" w:cs="Arial"/>
          <w:sz w:val="20"/>
          <w:szCs w:val="20"/>
        </w:rPr>
        <w:br/>
      </w:r>
      <w:r w:rsidRPr="00C06F5D">
        <w:rPr>
          <w:rFonts w:ascii="Arial" w:hAnsi="Arial" w:cs="Arial"/>
          <w:sz w:val="20"/>
          <w:szCs w:val="20"/>
        </w:rPr>
        <w:t xml:space="preserve">einer Arbeitskraft. Vielmehr bezeichnet dieser </w:t>
      </w:r>
      <w:hyperlink r:id="rId6" w:tgtFrame="_blank" w:history="1">
        <w:r w:rsidRPr="00C06F5D">
          <w:rPr>
            <w:rFonts w:ascii="Arial" w:hAnsi="Arial" w:cs="Arial"/>
            <w:bCs/>
            <w:sz w:val="20"/>
            <w:szCs w:val="20"/>
          </w:rPr>
          <w:t>Begriff</w:t>
        </w:r>
      </w:hyperlink>
      <w:r w:rsidRPr="00C06F5D">
        <w:rPr>
          <w:rFonts w:ascii="Arial" w:hAnsi="Arial" w:cs="Arial"/>
          <w:sz w:val="20"/>
          <w:szCs w:val="20"/>
        </w:rPr>
        <w:t xml:space="preserve"> eine Maßeinheit für die fiktive Anzahl von Vollzeitbeschäftigten einer Organisationseinheit bei Umrechnung aller Teilzeitarbeitsverhältnisse in Vollzeitarbeitsverhältnisse. </w:t>
      </w:r>
    </w:p>
    <w:p w:rsidR="00C06F5D" w:rsidRPr="00C06F5D" w:rsidRDefault="00C06F5D" w:rsidP="00C06F5D">
      <w:pPr>
        <w:rPr>
          <w:rFonts w:ascii="Arial" w:hAnsi="Arial" w:cs="Arial"/>
          <w:sz w:val="20"/>
          <w:szCs w:val="20"/>
        </w:rPr>
      </w:pPr>
    </w:p>
    <w:p w:rsidR="00C06F5D" w:rsidRPr="00C06F5D" w:rsidRDefault="00C06F5D" w:rsidP="00C06F5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1.2 </w:t>
      </w:r>
      <w:r w:rsidRPr="00C06F5D">
        <w:rPr>
          <w:rFonts w:ascii="Arial" w:hAnsi="Arial" w:cs="Arial"/>
          <w:b/>
          <w:sz w:val="20"/>
          <w:szCs w:val="20"/>
          <w:u w:val="single"/>
        </w:rPr>
        <w:t>Beschäftigte Mitarbeiter/innen maßgeblich</w:t>
      </w:r>
    </w:p>
    <w:p w:rsidR="00C06F5D" w:rsidRPr="00C06F5D" w:rsidRDefault="00C06F5D" w:rsidP="00C06F5D">
      <w:pPr>
        <w:jc w:val="both"/>
        <w:rPr>
          <w:rFonts w:ascii="Arial" w:hAnsi="Arial" w:cs="Arial"/>
          <w:sz w:val="20"/>
          <w:szCs w:val="20"/>
        </w:rPr>
      </w:pPr>
      <w:r w:rsidRPr="00C06F5D">
        <w:rPr>
          <w:rFonts w:ascii="Arial" w:hAnsi="Arial" w:cs="Arial"/>
          <w:sz w:val="20"/>
          <w:szCs w:val="20"/>
        </w:rPr>
        <w:t>Grundsätzlich ist zu beachten, dass die im Datenfile unter Punkt 1 "Grunddaten" abgefragte Anzahl von beschäftigten Mitarbeiter/innen (Kopfanzahl) sowie die Anzahl der Beschäftigten in Vollzeitäquivalenten (sprich Personaleinheiten) sich nur auf die fix angestellten Mitarbeiterinnen und Mitarbeiter bezieht (d.h. Mitarbeiter/innen mit einem Dienstvertrag). Mitarbeiter/innen auf Basis eines freien Dienstvertrages oder eines Werkvertrages sind unter Punkt 1 mengenmäßig nicht darzustellen (wertmäßig unter Kostenart 6900 allerdings schon).</w:t>
      </w:r>
    </w:p>
    <w:p w:rsidR="00C06F5D" w:rsidRPr="00C06F5D" w:rsidRDefault="00C06F5D" w:rsidP="00C06F5D">
      <w:pPr>
        <w:jc w:val="both"/>
        <w:rPr>
          <w:rFonts w:ascii="Arial" w:hAnsi="Arial" w:cs="Arial"/>
          <w:sz w:val="20"/>
          <w:szCs w:val="20"/>
        </w:rPr>
      </w:pPr>
    </w:p>
    <w:p w:rsidR="00C06F5D" w:rsidRPr="00C06F5D" w:rsidRDefault="00C06F5D" w:rsidP="00C06F5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1.3</w:t>
      </w:r>
      <w:r w:rsidRPr="00C06F5D">
        <w:rPr>
          <w:rFonts w:ascii="Arial" w:hAnsi="Arial" w:cs="Arial"/>
          <w:b/>
          <w:sz w:val="20"/>
          <w:szCs w:val="20"/>
          <w:u w:val="single"/>
        </w:rPr>
        <w:t xml:space="preserve"> Berechnung der PE bei ganzjährig gleichbleibendem Beschäftigungsausmaß</w:t>
      </w:r>
    </w:p>
    <w:p w:rsidR="00C06F5D" w:rsidRPr="00C06F5D" w:rsidRDefault="00C06F5D" w:rsidP="00C06F5D">
      <w:pPr>
        <w:jc w:val="both"/>
        <w:rPr>
          <w:rFonts w:ascii="Arial" w:hAnsi="Arial" w:cs="Arial"/>
          <w:sz w:val="20"/>
          <w:szCs w:val="20"/>
        </w:rPr>
      </w:pPr>
      <w:r w:rsidRPr="00C06F5D">
        <w:rPr>
          <w:rFonts w:ascii="Arial" w:hAnsi="Arial" w:cs="Arial"/>
          <w:sz w:val="20"/>
          <w:szCs w:val="20"/>
        </w:rPr>
        <w:t>Sofern die Mitarbeiterin von 1. Jänner bis 31. Dezember mit demselben Beschäftigungsausmaß durchgehend beschäftigt ist, so kann bei der Ermittlung der Personaleinheiten folgende Tabelle a</w:t>
      </w:r>
      <w:r w:rsidR="00840CEE">
        <w:rPr>
          <w:rFonts w:ascii="Arial" w:hAnsi="Arial" w:cs="Arial"/>
          <w:sz w:val="20"/>
          <w:szCs w:val="20"/>
        </w:rPr>
        <w:t>l</w:t>
      </w:r>
      <w:r w:rsidRPr="00C06F5D">
        <w:rPr>
          <w:rFonts w:ascii="Arial" w:hAnsi="Arial" w:cs="Arial"/>
          <w:sz w:val="20"/>
          <w:szCs w:val="20"/>
        </w:rPr>
        <w:t>s Hilfsmittel verwendet werden:</w:t>
      </w:r>
    </w:p>
    <w:p w:rsidR="00C06F5D" w:rsidRPr="00C06F5D" w:rsidRDefault="00C06F5D" w:rsidP="00C06F5D">
      <w:pPr>
        <w:jc w:val="both"/>
        <w:rPr>
          <w:rFonts w:ascii="Arial" w:hAnsi="Arial" w:cs="Arial"/>
          <w:sz w:val="10"/>
          <w:szCs w:val="10"/>
        </w:rPr>
      </w:pPr>
    </w:p>
    <w:bookmarkStart w:id="0" w:name="_MON_1305553171"/>
    <w:bookmarkStart w:id="1" w:name="_MON_1305553179"/>
    <w:bookmarkStart w:id="2" w:name="_MON_1305553197"/>
    <w:bookmarkStart w:id="3" w:name="_MON_1305553203"/>
    <w:bookmarkStart w:id="4" w:name="_MON_1305553642"/>
    <w:bookmarkStart w:id="5" w:name="_MON_1305553905"/>
    <w:bookmarkStart w:id="6" w:name="_MON_1305553943"/>
    <w:bookmarkStart w:id="7" w:name="_MON_1305553952"/>
    <w:bookmarkStart w:id="8" w:name="_MON_1305553963"/>
    <w:bookmarkStart w:id="9" w:name="_MON_1305554441"/>
    <w:bookmarkStart w:id="10" w:name="_MON_1305557787"/>
    <w:bookmarkStart w:id="11" w:name="_MON_1305557834"/>
    <w:bookmarkStart w:id="12" w:name="_MON_1305557844"/>
    <w:bookmarkStart w:id="13" w:name="_MON_130555301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Start w:id="14" w:name="_MON_1305553165"/>
    <w:bookmarkEnd w:id="14"/>
    <w:p w:rsidR="00C06F5D" w:rsidRPr="00C06F5D" w:rsidRDefault="00C06F5D" w:rsidP="00C06F5D">
      <w:pPr>
        <w:jc w:val="both"/>
        <w:rPr>
          <w:rFonts w:ascii="Arial" w:hAnsi="Arial" w:cs="Arial"/>
          <w:sz w:val="20"/>
          <w:szCs w:val="20"/>
        </w:rPr>
      </w:pPr>
      <w:r w:rsidRPr="00C06F5D">
        <w:rPr>
          <w:rFonts w:ascii="Arial" w:hAnsi="Arial" w:cs="Arial"/>
          <w:sz w:val="20"/>
          <w:szCs w:val="20"/>
        </w:rPr>
        <w:object w:dxaOrig="9174" w:dyaOrig="2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5pt;height:117.5pt" o:ole="">
            <v:imagedata r:id="rId7" o:title=""/>
          </v:shape>
          <o:OLEObject Type="Embed" ProgID="Excel.Sheet.8" ShapeID="_x0000_i1025" DrawAspect="Content" ObjectID="_1717583959" r:id="rId8"/>
        </w:object>
      </w:r>
    </w:p>
    <w:p w:rsidR="00C06F5D" w:rsidRPr="00C06F5D" w:rsidRDefault="00D63FA8" w:rsidP="00C06F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C06F5D" w:rsidRPr="00C06F5D">
        <w:rPr>
          <w:rFonts w:ascii="Arial" w:hAnsi="Arial" w:cs="Arial"/>
          <w:sz w:val="20"/>
          <w:szCs w:val="20"/>
        </w:rPr>
        <w:t xml:space="preserve">Beispiel: In einer Organisation mit einer 40 Stundenwoche sind 6 Personen ganzjährig mit folgendem Beschäftigungsausmaß </w:t>
      </w:r>
      <w:r w:rsidR="008A5804">
        <w:rPr>
          <w:rFonts w:ascii="Arial" w:hAnsi="Arial" w:cs="Arial"/>
          <w:sz w:val="20"/>
          <w:szCs w:val="20"/>
        </w:rPr>
        <w:t>angestellt</w:t>
      </w:r>
      <w:r w:rsidR="00C06F5D" w:rsidRPr="00C06F5D">
        <w:rPr>
          <w:rFonts w:ascii="Arial" w:hAnsi="Arial" w:cs="Arial"/>
          <w:sz w:val="20"/>
          <w:szCs w:val="20"/>
        </w:rPr>
        <w:t xml:space="preserve">: 40 Wo.Std., 30 Wo.Std., 25  Wo.Std., 20 Wo.Std. sowie 2 Personen mit jeweils 10 Wo.Std. –-&gt; zusammen somit insgesamt 3,38 PE. Anders gerechnet: 135 Wochenstunden dividiert durch 40 Wochenstunden = </w:t>
      </w:r>
      <w:r w:rsidR="00C06F5D" w:rsidRPr="00C06F5D">
        <w:rPr>
          <w:rFonts w:ascii="Arial" w:hAnsi="Arial" w:cs="Arial"/>
          <w:sz w:val="20"/>
          <w:szCs w:val="20"/>
          <w:u w:val="double"/>
        </w:rPr>
        <w:t>3,38 PE</w:t>
      </w:r>
      <w:r w:rsidR="00C06F5D" w:rsidRPr="00C06F5D">
        <w:rPr>
          <w:rFonts w:ascii="Arial" w:hAnsi="Arial" w:cs="Arial"/>
          <w:sz w:val="20"/>
          <w:szCs w:val="20"/>
        </w:rPr>
        <w:t>.</w:t>
      </w:r>
    </w:p>
    <w:p w:rsidR="00E21D45" w:rsidRPr="00C06F5D" w:rsidRDefault="00E21D45" w:rsidP="00E21D45">
      <w:pPr>
        <w:jc w:val="both"/>
        <w:rPr>
          <w:rFonts w:ascii="Arial" w:hAnsi="Arial" w:cs="Arial"/>
          <w:sz w:val="20"/>
          <w:szCs w:val="20"/>
        </w:rPr>
      </w:pPr>
      <w:r w:rsidRPr="00C06F5D">
        <w:rPr>
          <w:rFonts w:ascii="Arial" w:hAnsi="Arial" w:cs="Arial"/>
          <w:sz w:val="20"/>
          <w:szCs w:val="20"/>
        </w:rPr>
        <w:t xml:space="preserve"> </w:t>
      </w:r>
    </w:p>
    <w:p w:rsidR="009F43B9" w:rsidRPr="00C06F5D" w:rsidRDefault="009F43B9" w:rsidP="009F43B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>
        <w:rPr>
          <w:rFonts w:ascii="Arial" w:hAnsi="Arial" w:cs="Arial"/>
          <w:b/>
          <w:sz w:val="20"/>
          <w:szCs w:val="20"/>
          <w:u w:val="single"/>
        </w:rPr>
        <w:lastRenderedPageBreak/>
        <w:t>1.4</w:t>
      </w:r>
      <w:r w:rsidRPr="00C06F5D">
        <w:rPr>
          <w:rFonts w:ascii="Arial" w:hAnsi="Arial" w:cs="Arial"/>
          <w:b/>
          <w:sz w:val="20"/>
          <w:szCs w:val="20"/>
          <w:u w:val="single"/>
        </w:rPr>
        <w:t xml:space="preserve"> Berechnung der PE, wenn kein ganzes Jahr zugrunde liegt</w:t>
      </w:r>
    </w:p>
    <w:p w:rsidR="009F43B9" w:rsidRPr="00C06F5D" w:rsidRDefault="00873F77" w:rsidP="009F43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0;margin-top:39.95pt;width:459pt;height:65.45pt;z-index:251659776">
            <v:textbox style="mso-next-textbox:#_x0000_s1041;mso-fit-shape-to-text:t">
              <w:txbxContent>
                <w:p w:rsidR="009F43B9" w:rsidRDefault="009F43B9" w:rsidP="009F43B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2.080,00 Stunden bei 40 Std.Wo. (40 Wo.Std. x 52 Wochen)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.........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1 PE </w:t>
                  </w:r>
                </w:p>
                <w:p w:rsidR="009F43B9" w:rsidRPr="00B254D3" w:rsidRDefault="009F43B9" w:rsidP="009F43B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54D3">
                    <w:rPr>
                      <w:rFonts w:ascii="Arial" w:hAnsi="Arial" w:cs="Arial"/>
                      <w:sz w:val="20"/>
                      <w:szCs w:val="20"/>
                    </w:rPr>
                    <w:t xml:space="preserve">   346,40 Stunden (20 Wo.Std. x 4,33 Wochen x 4 Monate)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..........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B254D3">
                    <w:rPr>
                      <w:rFonts w:ascii="Arial" w:hAnsi="Arial" w:cs="Arial"/>
                      <w:sz w:val="20"/>
                      <w:szCs w:val="20"/>
                    </w:rPr>
                    <w:t xml:space="preserve">x PE ?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B254D3">
                    <w:rPr>
                      <w:rFonts w:ascii="Arial" w:hAnsi="Arial" w:cs="Arial"/>
                      <w:sz w:val="20"/>
                      <w:szCs w:val="20"/>
                    </w:rPr>
                    <w:t xml:space="preserve">--&gt; </w:t>
                  </w:r>
                  <w:r w:rsidRPr="00B254D3">
                    <w:rPr>
                      <w:rFonts w:ascii="Arial" w:hAnsi="Arial" w:cs="Arial"/>
                      <w:sz w:val="20"/>
                      <w:szCs w:val="20"/>
                      <w:u w:val="double"/>
                    </w:rPr>
                    <w:t>0,17 PE</w:t>
                  </w:r>
                </w:p>
                <w:p w:rsidR="009F43B9" w:rsidRPr="00891D8B" w:rsidRDefault="009F43B9" w:rsidP="009F43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F43B9" w:rsidRDefault="009F43B9" w:rsidP="009F43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1,976,00 Stunden bei 38 Std.Wo. (38 Wo.Std. x 52 Wochen)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..........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1 PE</w:t>
                  </w:r>
                </w:p>
                <w:p w:rsidR="009F43B9" w:rsidRPr="00F8044E" w:rsidRDefault="009F43B9" w:rsidP="009F43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346,40 Stunden (20 Wo.Std. x 4,33 Wochen x 4 Monate)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..........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x PE ?   --&gt; </w:t>
                  </w:r>
                  <w:r w:rsidRPr="005D1816">
                    <w:rPr>
                      <w:rFonts w:ascii="Arial" w:hAnsi="Arial" w:cs="Arial"/>
                      <w:sz w:val="20"/>
                      <w:szCs w:val="20"/>
                      <w:u w:val="double"/>
                    </w:rPr>
                    <w:t>0,18 PE</w:t>
                  </w:r>
                </w:p>
              </w:txbxContent>
            </v:textbox>
            <w10:wrap type="square"/>
          </v:shape>
        </w:pict>
      </w:r>
      <w:r w:rsidR="009F43B9" w:rsidRPr="00C06F5D">
        <w:rPr>
          <w:rFonts w:ascii="Arial" w:hAnsi="Arial" w:cs="Arial"/>
          <w:sz w:val="20"/>
          <w:szCs w:val="20"/>
        </w:rPr>
        <w:t>Beispiel: Am 1. September wird eine neue Mitarbeiterin mit einem Beschäftigungsausmaß von 20 Wo.Std. aufgenommen. Es wird ein Dienstvertrag abgeschlossen. Die Mitarbeiterin arbeitet in dem betref</w:t>
      </w:r>
      <w:r w:rsidR="009F43B9">
        <w:rPr>
          <w:rFonts w:ascii="Arial" w:hAnsi="Arial" w:cs="Arial"/>
          <w:sz w:val="20"/>
          <w:szCs w:val="20"/>
        </w:rPr>
        <w:t xml:space="preserve">fenden Jahr = </w:t>
      </w:r>
      <w:r w:rsidR="009F43B9" w:rsidRPr="00C06F5D">
        <w:rPr>
          <w:rFonts w:ascii="Arial" w:hAnsi="Arial" w:cs="Arial"/>
          <w:sz w:val="20"/>
          <w:szCs w:val="20"/>
        </w:rPr>
        <w:t>4 Monate (Sept. – Dez.). Anmerkung: 52 Wochen : 12 Monate = 4,33 Wochen.</w:t>
      </w:r>
      <w:r w:rsidR="009F43B9" w:rsidRPr="00E21D45">
        <w:rPr>
          <w:rFonts w:ascii="Arial" w:hAnsi="Arial" w:cs="Arial"/>
          <w:sz w:val="20"/>
          <w:szCs w:val="20"/>
        </w:rPr>
        <w:t xml:space="preserve"> </w:t>
      </w:r>
      <w:r w:rsidR="009F43B9" w:rsidRPr="00C06F5D">
        <w:rPr>
          <w:rFonts w:ascii="Arial" w:hAnsi="Arial" w:cs="Arial"/>
          <w:sz w:val="20"/>
          <w:szCs w:val="20"/>
        </w:rPr>
        <w:t xml:space="preserve">4 Monate (Sept. – Dez.). </w:t>
      </w:r>
    </w:p>
    <w:p w:rsidR="009F43B9" w:rsidRDefault="009F43B9" w:rsidP="00C06F5D">
      <w:pPr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F43B9" w:rsidRDefault="009F43B9" w:rsidP="00C06F5D">
      <w:pPr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555EAB" w:rsidRPr="00C06F5D" w:rsidRDefault="00841032" w:rsidP="00C06F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 xml:space="preserve">2  </w:t>
      </w:r>
      <w:r w:rsidR="00890939" w:rsidRPr="00C06F5D">
        <w:rPr>
          <w:rFonts w:ascii="Arial" w:hAnsi="Arial" w:cs="Arial"/>
          <w:b/>
          <w:sz w:val="22"/>
          <w:szCs w:val="22"/>
          <w:highlight w:val="lightGray"/>
        </w:rPr>
        <w:t xml:space="preserve">Was ist den einzelnen Kostenarten </w:t>
      </w:r>
      <w:r w:rsidR="00992EBA" w:rsidRPr="00C06F5D">
        <w:rPr>
          <w:rFonts w:ascii="Arial" w:hAnsi="Arial" w:cs="Arial"/>
          <w:b/>
          <w:sz w:val="22"/>
          <w:szCs w:val="22"/>
          <w:highlight w:val="lightGray"/>
        </w:rPr>
        <w:t xml:space="preserve">im Bereich </w:t>
      </w:r>
      <w:r w:rsidR="00D47E62" w:rsidRPr="00C06F5D">
        <w:rPr>
          <w:rFonts w:ascii="Arial" w:hAnsi="Arial" w:cs="Arial"/>
          <w:b/>
          <w:sz w:val="22"/>
          <w:szCs w:val="22"/>
          <w:highlight w:val="lightGray"/>
        </w:rPr>
        <w:t>Personalaufwendungen</w:t>
      </w:r>
      <w:r w:rsidR="00992EBA" w:rsidRPr="00C06F5D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  <w:r w:rsidR="00890939" w:rsidRPr="00C06F5D">
        <w:rPr>
          <w:rFonts w:ascii="Arial" w:hAnsi="Arial" w:cs="Arial"/>
          <w:b/>
          <w:sz w:val="22"/>
          <w:szCs w:val="22"/>
          <w:highlight w:val="lightGray"/>
        </w:rPr>
        <w:t>zuzuordnen?</w:t>
      </w:r>
    </w:p>
    <w:p w:rsidR="00890939" w:rsidRDefault="00890939">
      <w:pPr>
        <w:rPr>
          <w:rFonts w:ascii="Arial" w:hAnsi="Arial" w:cs="Arial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2140"/>
        <w:gridCol w:w="6452"/>
      </w:tblGrid>
      <w:tr w:rsidR="004334DA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4DA" w:rsidRDefault="004334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Konto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4DA" w:rsidRDefault="004334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Bezeichnung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4DA" w:rsidRDefault="004334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Inhaltliche Zuordnungsbeispiele</w:t>
            </w:r>
          </w:p>
        </w:tc>
      </w:tr>
      <w:tr w:rsidR="004334DA">
        <w:trPr>
          <w:trHeight w:val="1418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4DA" w:rsidRDefault="004334DA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6010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1A" w:rsidRDefault="004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Löhne und Gehälter inkl. Nebenkosten für </w:t>
            </w:r>
          </w:p>
          <w:p w:rsidR="004334DA" w:rsidRDefault="004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Mitarbeiter</w:t>
            </w:r>
            <w:r w:rsidR="009D0E1A">
              <w:rPr>
                <w:rFonts w:ascii="Arial" w:hAnsi="Arial" w:cs="Arial"/>
                <w:sz w:val="16"/>
                <w:szCs w:val="16"/>
              </w:rPr>
              <w:t>/Mitarbeiterinnen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DA" w:rsidRDefault="004334DA" w:rsidP="004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Löhne u. Gehälter, Sonderzahlungen, Urlaubsabfindung, Urlaubsentschädigung, Sachbezug, Aushilfslöhne, Erschwerniszulagen, Jubiläumsbezüge, Auszahlungen für Überstunden, Zeitausgleich bzw</w:t>
            </w:r>
            <w:r w:rsidR="008A580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Pensionen, Familienzulagen, Kinderzulagen, Fahrtkostenzuschüsse, Dienstgeberanteil GKK, SV Beiträge Arbeiter und Angestellte, DB Familienlastenausgleichsfonds, Familienbeihilfe, Zuschlag zum DB, Dienstgeberanteil GKK SZ, Kommunalsteuer, Invalidenausgleichstaxe</w:t>
            </w:r>
          </w:p>
        </w:tc>
      </w:tr>
      <w:tr w:rsidR="004334DA">
        <w:trPr>
          <w:trHeight w:val="4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4DA" w:rsidRDefault="004334DA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DA" w:rsidRDefault="004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Abfertigungen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4DA" w:rsidRDefault="004334DA" w:rsidP="004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Aufwand für tatsächlich angefallene Abfertigungen (Abfertigung alt)</w:t>
            </w:r>
          </w:p>
        </w:tc>
      </w:tr>
      <w:tr w:rsidR="004334DA">
        <w:trPr>
          <w:trHeight w:val="55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4DA" w:rsidRDefault="004334DA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6420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DA" w:rsidRDefault="004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Personalrückstellungen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DA" w:rsidRDefault="004334DA" w:rsidP="004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Dotierung bzw</w:t>
            </w:r>
            <w:r w:rsidR="008A580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Auflösung von Rückstellungen für Urlaub, Abfertigung, Jubiläumsgeld, Überstunden, Zeitausgleich etc</w:t>
            </w:r>
          </w:p>
        </w:tc>
      </w:tr>
      <w:tr w:rsidR="004334DA">
        <w:trPr>
          <w:trHeight w:val="7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4DA" w:rsidRDefault="004334DA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6700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DA" w:rsidRDefault="004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Sozialkosten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DA" w:rsidRDefault="004334DA" w:rsidP="004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Freiwilliger Sozialaufwand, Betriebsratsfonds, Arbeitskleidung, Kleiderbeihilfe, freie Station (freies Wohnen), freie Verpflegung, Aufwendungen für Betriebsausflug</w:t>
            </w:r>
          </w:p>
        </w:tc>
      </w:tr>
      <w:tr w:rsidR="004334DA"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4DA" w:rsidRDefault="004334DA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DA" w:rsidRDefault="004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Aus- und Weiterbildung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DA" w:rsidRDefault="004334DA" w:rsidP="004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Fortbildungsaufwand Dienstnehmer, Aus- und Weiterbildung, Schulungskosten Personal, Supervision</w:t>
            </w:r>
          </w:p>
        </w:tc>
      </w:tr>
      <w:tr w:rsidR="004334DA">
        <w:trPr>
          <w:trHeight w:val="983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4DA" w:rsidRDefault="004334DA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DA" w:rsidRDefault="004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Fremdpersonal/Honorare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DA" w:rsidRDefault="004334DA" w:rsidP="004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Fremd- und Leihpersonal, Honorare für freie Mitarbeiter</w:t>
            </w:r>
            <w:r w:rsidR="009D0E1A">
              <w:rPr>
                <w:rFonts w:ascii="Arial" w:hAnsi="Arial" w:cs="Arial"/>
                <w:sz w:val="16"/>
                <w:szCs w:val="16"/>
              </w:rPr>
              <w:t>/Mitarbeiterinnen</w:t>
            </w:r>
            <w:r>
              <w:rPr>
                <w:rFonts w:ascii="Arial" w:hAnsi="Arial" w:cs="Arial"/>
                <w:sz w:val="16"/>
                <w:szCs w:val="16"/>
              </w:rPr>
              <w:t>, Arztkosten, Honorare aus Werkverträgen, Entschädigung für Schwestern und Patres, Zivildiener u</w:t>
            </w:r>
            <w:r w:rsidR="009D0E1A">
              <w:rPr>
                <w:rFonts w:ascii="Arial" w:hAnsi="Arial" w:cs="Arial"/>
                <w:sz w:val="16"/>
                <w:szCs w:val="16"/>
              </w:rPr>
              <w:t xml:space="preserve">nd Sozialhelfer, Praktikanten/Praktikantinnen, </w:t>
            </w:r>
            <w:r>
              <w:rPr>
                <w:rFonts w:ascii="Arial" w:hAnsi="Arial" w:cs="Arial"/>
                <w:sz w:val="16"/>
                <w:szCs w:val="16"/>
              </w:rPr>
              <w:t>Diakonischer Einsatz</w:t>
            </w:r>
          </w:p>
        </w:tc>
      </w:tr>
    </w:tbl>
    <w:p w:rsidR="004334DA" w:rsidRDefault="004334DA">
      <w:pPr>
        <w:rPr>
          <w:rFonts w:ascii="Arial" w:hAnsi="Arial" w:cs="Arial"/>
        </w:rPr>
      </w:pPr>
    </w:p>
    <w:p w:rsidR="004334DA" w:rsidRDefault="004334DA">
      <w:pPr>
        <w:rPr>
          <w:rFonts w:ascii="Arial" w:hAnsi="Arial" w:cs="Arial"/>
        </w:rPr>
      </w:pPr>
    </w:p>
    <w:p w:rsidR="004334DA" w:rsidRPr="00C06F5D" w:rsidRDefault="004334DA">
      <w:pPr>
        <w:rPr>
          <w:rFonts w:ascii="Arial" w:hAnsi="Arial" w:cs="Arial"/>
        </w:rPr>
      </w:pPr>
    </w:p>
    <w:p w:rsidR="00992EBA" w:rsidRPr="00C06F5D" w:rsidRDefault="0084103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 xml:space="preserve">3  </w:t>
      </w:r>
      <w:r w:rsidR="00992EBA" w:rsidRPr="00C06F5D">
        <w:rPr>
          <w:rFonts w:ascii="Arial" w:hAnsi="Arial" w:cs="Arial"/>
          <w:b/>
          <w:sz w:val="22"/>
          <w:szCs w:val="22"/>
          <w:highlight w:val="lightGray"/>
        </w:rPr>
        <w:t xml:space="preserve">Was ist den einzelnen Kostenarten im Bereich </w:t>
      </w:r>
      <w:r w:rsidR="00D47E62" w:rsidRPr="00C06F5D">
        <w:rPr>
          <w:rFonts w:ascii="Arial" w:hAnsi="Arial" w:cs="Arial"/>
          <w:b/>
          <w:sz w:val="22"/>
          <w:szCs w:val="22"/>
          <w:highlight w:val="lightGray"/>
        </w:rPr>
        <w:t>Sachaufwendungen</w:t>
      </w:r>
      <w:r w:rsidR="00992EBA" w:rsidRPr="00C06F5D">
        <w:rPr>
          <w:rFonts w:ascii="Arial" w:hAnsi="Arial" w:cs="Arial"/>
          <w:b/>
          <w:sz w:val="22"/>
          <w:szCs w:val="22"/>
          <w:highlight w:val="lightGray"/>
        </w:rPr>
        <w:t xml:space="preserve"> zuzuordnen?</w:t>
      </w:r>
    </w:p>
    <w:p w:rsidR="00992EBA" w:rsidRDefault="00992EBA">
      <w:pPr>
        <w:rPr>
          <w:rFonts w:ascii="Arial" w:hAnsi="Arial" w:cs="Arial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2140"/>
        <w:gridCol w:w="6452"/>
      </w:tblGrid>
      <w:tr w:rsidR="004E521E">
        <w:trPr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Konto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Bezeichnung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Inhaltliche Zuordnungsbeispiele</w:t>
            </w:r>
          </w:p>
        </w:tc>
      </w:tr>
      <w:tr w:rsidR="004E521E"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5100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Lebensmittel/Verpflegung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Aufwand Küche, Lebensmittel, Getränke, Verpflegungskosten, Pfand, Küchenzubehör (Geschirr)</w:t>
            </w:r>
          </w:p>
        </w:tc>
      </w:tr>
      <w:tr w:rsidR="004E521E">
        <w:trPr>
          <w:trHeight w:val="172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5200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Materialien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Material Beschäftigungstherapie, Wareneinkauf Werkstätten, Kreativmaterial, Werkmaterial, Verbrauchswerkzeuge, Verpackungsmaterial, Hilfs- und Betriebsstoffe, Verbrauchsstoffe, Gesundheits- und Körperpflege, Hauserfordernisse, Bekleidung und Schuhe, </w:t>
            </w:r>
            <w:r w:rsidR="008A5804">
              <w:rPr>
                <w:rFonts w:ascii="Arial" w:hAnsi="Arial" w:cs="Arial"/>
                <w:sz w:val="16"/>
                <w:szCs w:val="16"/>
              </w:rPr>
              <w:t>sonstige Aufwendungen</w:t>
            </w:r>
            <w:r>
              <w:rPr>
                <w:rFonts w:ascii="Arial" w:hAnsi="Arial" w:cs="Arial"/>
                <w:sz w:val="16"/>
                <w:szCs w:val="16"/>
              </w:rPr>
              <w:t xml:space="preserve"> Bewohner, Pflegematerial, Therapiematerialien, Spielmaterial, Bettzeug, Wäsche, Ersatzbeschaffungen Textil, Verbrauchs- und Bastelmaterial für Betreute, Therapiebedarf, Spiele und Bücher für Kinder, Bastel- und Werkmaterial, Wäsche und Stoffe, Kleidung für Kinder, Hygieneartikel und Körperpflege, Medikamente und Rezeptgebühren</w:t>
            </w:r>
          </w:p>
        </w:tc>
      </w:tr>
      <w:tr w:rsidR="004E521E">
        <w:trPr>
          <w:trHeight w:val="5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5600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Energie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Heizmaterial, Brennstoffe, Heizung, Energiebezüge Wärme, Energiebezüge Strom, Energiebezüge Erdgas, Energiebezüge</w:t>
            </w:r>
          </w:p>
        </w:tc>
      </w:tr>
      <w:tr w:rsidR="004E521E">
        <w:trPr>
          <w:trHeight w:val="698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7000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Abschreibungen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Abschreibung Gebäude, Abschreibung Betriebs- und Geschäftsausstattung, Abschreibung Maschinen, Abschreibungen KFZ, Erträge aus Auflösung von Bewertungsreserven</w:t>
            </w:r>
          </w:p>
        </w:tc>
      </w:tr>
      <w:tr w:rsidR="004E521E">
        <w:trPr>
          <w:trHeight w:val="1523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lastRenderedPageBreak/>
              <w:t>7200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Instandhaltung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Instandhaltung und Reparatur Einrichtung, Instandhaltung bewegliche Wirtschaftsgüter, Instandhaltung Gebäude, Service und Wartung, Instandhaltung Straßen, Wege und Außenanlagen, Instandhaltung Heizungsanlagen, Instandhaltung Maschinen und </w:t>
            </w:r>
            <w:r w:rsidR="009D0E1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maschinelle Einrichtung, Instandhaltung Betriebs- und Geschäftsausstattung, </w:t>
            </w:r>
            <w:r w:rsidR="009D0E1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Instandhaltung medizinische Einrichtung, Instandhaltung</w:t>
            </w:r>
            <w:r w:rsidR="009D0E1A">
              <w:rPr>
                <w:rFonts w:ascii="Arial" w:hAnsi="Arial" w:cs="Arial"/>
                <w:sz w:val="16"/>
                <w:szCs w:val="16"/>
              </w:rPr>
              <w:t xml:space="preserve"> Büromaschinen und EDV-Anlagen, </w:t>
            </w:r>
            <w:r>
              <w:rPr>
                <w:rFonts w:ascii="Arial" w:hAnsi="Arial" w:cs="Arial"/>
                <w:sz w:val="16"/>
                <w:szCs w:val="16"/>
              </w:rPr>
              <w:t>Instandhaltung Einrichtung, Instandhaltung Telefonanlagen</w:t>
            </w:r>
          </w:p>
        </w:tc>
      </w:tr>
      <w:tr w:rsidR="004E521E">
        <w:trPr>
          <w:trHeight w:val="67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7210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Geringwertige Wirtschaftsgüter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GWG (geringwertige Wirtschaftsgüter des Anlagevermögens, dessen Anschaffungswert 400 Euro nicht übersteigt, können laut EStG im Zugangsjahr voll abgeschrieben werden.</w:t>
            </w:r>
          </w:p>
        </w:tc>
      </w:tr>
      <w:tr w:rsidR="004E521E">
        <w:trPr>
          <w:trHeight w:val="52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7230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Reinigung / Fremdreinigung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Fremdreinigung Gebäude und Einrichtungen, Wäschereinigung, Reinigungsmaterial, Fremdreinigung</w:t>
            </w:r>
          </w:p>
        </w:tc>
      </w:tr>
      <w:tr w:rsidR="004E521E">
        <w:trPr>
          <w:trHeight w:val="70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7310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KFZ- und Transportkosten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Instandhaltung Kraftfahrzeuge, Kraftstoffe, Allgemeiner Transportaufwand, KFZ-Leasing, KFZ-Steuer, KFZ-Versicherung, Ausgangsfrachten, Treibstoffe, Aufwand für Reparaturen und Service, Transport durch Dritte, Maut- und Parkgebühren, Miete KFZ</w:t>
            </w:r>
          </w:p>
        </w:tc>
      </w:tr>
      <w:tr w:rsidR="004E521E">
        <w:trPr>
          <w:trHeight w:val="49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7320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Reise- und Fahrkosten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Fahrtkosten, Reisekosten, Diäten, KM-Gelder, Fahrt- und Reisespesen, Verpflegungsspesen und Nächtigungsgelder</w:t>
            </w:r>
          </w:p>
        </w:tc>
      </w:tr>
      <w:tr w:rsidR="004E521E">
        <w:trPr>
          <w:trHeight w:val="503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7410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Miete, Pacht, Leasing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Miete u. Pacht, Miete Wohnungsfreunde, Miete und Wartung Brandmeldeanlage, Miete und Leasing Telefon und EDV</w:t>
            </w:r>
          </w:p>
        </w:tc>
      </w:tr>
      <w:tr w:rsidR="004E521E">
        <w:trPr>
          <w:trHeight w:val="43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7420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Betriebskosten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Betriebskosten, Kanalgebühren und Müllabfuhr (inkl</w:t>
            </w:r>
            <w:r w:rsidR="008A580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Container), Wasser, Rauchfangkehrer</w:t>
            </w:r>
          </w:p>
        </w:tc>
      </w:tr>
      <w:tr w:rsidR="004E521E">
        <w:trPr>
          <w:trHeight w:val="64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7610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Werbung, Öffentlichkeitsarbeit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Werbekosten (Inserate, Messen, etc), Geschäftsanbahnung, Werbeaufwand innerbetrieblich, Öffentlichkeitsarbeit, Inserate, Veröffentlichungen, sonstiger Werbeaufwand, </w:t>
            </w:r>
          </w:p>
        </w:tc>
      </w:tr>
      <w:tr w:rsidR="004E521E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7621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Büromaterial, EDV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Büromaterial, EDV-Material, Vordrucke u. Formulare, Fotomaterial, Kopierkosten</w:t>
            </w:r>
          </w:p>
        </w:tc>
      </w:tr>
      <w:tr w:rsidR="004E521E">
        <w:trPr>
          <w:trHeight w:val="64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7622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Rechts-</w:t>
            </w:r>
            <w:r w:rsidR="00F570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und Beratungs</w:t>
            </w:r>
            <w:r w:rsidR="009D0E1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kosten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Buchhaltungs-, Personalverrechnungs- u. Auswertungskosten, Rechts-, Prüf- und </w:t>
            </w:r>
            <w:r w:rsidR="009D0E1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Beratungsaufwand (Jahresabschluss und Steuerberatung), Unternehmensberatung</w:t>
            </w:r>
          </w:p>
        </w:tc>
      </w:tr>
      <w:tr w:rsidR="004E521E">
        <w:trPr>
          <w:trHeight w:val="458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7623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Telefon, Fax, Porto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Postgebühren, andere Postnetzdienste, Telefongebühren, Telefonwertkarten, Internet</w:t>
            </w:r>
          </w:p>
        </w:tc>
      </w:tr>
      <w:tr w:rsidR="004E521E">
        <w:trPr>
          <w:trHeight w:val="458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7624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Versicherungen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Versicherungen allgemein, Gebäudeversicherungen, Haftpflichtversicherungen, Unfallversicherungen, sonstige Versicherungen </w:t>
            </w:r>
          </w:p>
        </w:tc>
      </w:tr>
      <w:tr w:rsidR="004E521E"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7625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1A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Gebühren, Abgaben, </w:t>
            </w:r>
          </w:p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Steuern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Grundsteuer, Sonstige Steuern, Gebühren und Beiträge, Umlagen und Pflichtbeiträge, Stempelmarken, Öffentliche Abgaben</w:t>
            </w:r>
          </w:p>
        </w:tc>
      </w:tr>
      <w:tr w:rsidR="004E521E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7626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Übrige Verwaltungskosten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Sonstiger Verwaltungsaufwand, Spesen des Geldverkehrs,, Fachliteratur u. Zeitungen,</w:t>
            </w:r>
          </w:p>
        </w:tc>
      </w:tr>
      <w:tr w:rsidR="004E521E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7810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Kosten für Betreute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Taschen- und Arbeitsgeld für Bewohner, Taschengeld Kinder</w:t>
            </w:r>
          </w:p>
        </w:tc>
      </w:tr>
      <w:tr w:rsidR="004E521E">
        <w:trPr>
          <w:trHeight w:val="88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E" w:rsidRDefault="004E521E" w:rsidP="0059547C">
            <w:pP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7820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Kosten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E" w:rsidRDefault="004E521E" w:rsidP="00595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Groschenausgleiche, Rundungsdifferenzen Anlagen, Sonstige Schadensfälle, Aufwand aus Vorperioden, </w:t>
            </w:r>
            <w:r w:rsidR="008A5804">
              <w:rPr>
                <w:rFonts w:ascii="Arial" w:hAnsi="Arial" w:cs="Arial"/>
                <w:sz w:val="16"/>
                <w:szCs w:val="16"/>
              </w:rPr>
              <w:t>Skontoaufwand, sonstige Aufwendungen</w:t>
            </w:r>
            <w:r>
              <w:rPr>
                <w:rFonts w:ascii="Arial" w:hAnsi="Arial" w:cs="Arial"/>
                <w:sz w:val="16"/>
                <w:szCs w:val="16"/>
              </w:rPr>
              <w:t>, Abschreibung Forderungen, uneinbringliche Forderungen, Kursdifferenzen, Unterstützungsbeihilfen, Spenden, Aufwand für Pferde, Aufwand für Kirche, Aufwand für Erbschaften</w:t>
            </w:r>
          </w:p>
        </w:tc>
      </w:tr>
    </w:tbl>
    <w:p w:rsidR="004334DA" w:rsidRDefault="004334DA">
      <w:pPr>
        <w:rPr>
          <w:rFonts w:ascii="Arial" w:hAnsi="Arial" w:cs="Arial"/>
        </w:rPr>
      </w:pPr>
    </w:p>
    <w:p w:rsidR="004334DA" w:rsidRDefault="004334DA">
      <w:pPr>
        <w:rPr>
          <w:rFonts w:ascii="Arial" w:hAnsi="Arial" w:cs="Arial"/>
        </w:rPr>
      </w:pPr>
    </w:p>
    <w:p w:rsidR="003A3CA8" w:rsidRDefault="003A3CA8">
      <w:pPr>
        <w:rPr>
          <w:rFonts w:ascii="Arial" w:hAnsi="Arial" w:cs="Arial"/>
        </w:rPr>
      </w:pPr>
    </w:p>
    <w:p w:rsidR="00444A3C" w:rsidRPr="00444A3C" w:rsidRDefault="00444A3C" w:rsidP="00444A3C">
      <w:pPr>
        <w:rPr>
          <w:rFonts w:ascii="Arial" w:hAnsi="Arial" w:cs="Arial"/>
          <w:b/>
          <w:sz w:val="22"/>
          <w:szCs w:val="22"/>
          <w:highlight w:val="lightGray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 xml:space="preserve">4  </w:t>
      </w:r>
      <w:r w:rsidRPr="00444A3C">
        <w:rPr>
          <w:rFonts w:ascii="Arial" w:hAnsi="Arial" w:cs="Arial"/>
          <w:b/>
          <w:sz w:val="22"/>
          <w:szCs w:val="22"/>
          <w:highlight w:val="lightGray"/>
        </w:rPr>
        <w:t>Was zählt zu den Finanzerträgen und Finanzaufwendungen?</w:t>
      </w:r>
    </w:p>
    <w:p w:rsidR="00444A3C" w:rsidRDefault="00444A3C" w:rsidP="00444A3C">
      <w:pPr>
        <w:rPr>
          <w:rFonts w:ascii="Arial" w:hAnsi="Arial" w:cs="Arial"/>
          <w:sz w:val="20"/>
          <w:szCs w:val="20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2140"/>
        <w:gridCol w:w="6452"/>
      </w:tblGrid>
      <w:tr w:rsidR="00444A3C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A3C" w:rsidRDefault="00444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Konto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A3C" w:rsidRDefault="00444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Bezeichnung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A3C" w:rsidRDefault="00444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Inhaltliche Zuordnungsbeispiele</w:t>
            </w:r>
          </w:p>
        </w:tc>
      </w:tr>
      <w:tr w:rsidR="00444A3C">
        <w:trPr>
          <w:trHeight w:val="79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A3C" w:rsidRDefault="00444A3C">
            <w:pPr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8100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A3C" w:rsidRDefault="00444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Finanzerträge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A3C" w:rsidRDefault="00444A3C" w:rsidP="00444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Zinserträge aus Bankguthaben oder gewährten Darlehen, Zinserträge aus Anleihen, Wertpapiererträge, Gewinnausschüttungen aus Aktien, Erträge aus Beteiligungen an Personen- und Kapitalgesellschaften</w:t>
            </w:r>
          </w:p>
        </w:tc>
      </w:tr>
      <w:tr w:rsidR="00444A3C">
        <w:trPr>
          <w:trHeight w:val="79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A3C" w:rsidRDefault="00444A3C">
            <w:pPr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8200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A3C" w:rsidRDefault="00444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Finanzaufwendungen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A3C" w:rsidRDefault="00444A3C" w:rsidP="00444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Zinsaufwendungen für Darlehen und Kredite bei der Bank, Verzugszinsaufwendungen und Mahnspesen wegen unbezahlter Rechnungen, Abschreibungen vom Finanzvermögen, Abschreibungen auf Beteiligungen</w:t>
            </w:r>
          </w:p>
        </w:tc>
      </w:tr>
    </w:tbl>
    <w:p w:rsidR="00444A3C" w:rsidRDefault="00444A3C" w:rsidP="00444A3C">
      <w:pPr>
        <w:rPr>
          <w:rFonts w:ascii="Arial" w:hAnsi="Arial" w:cs="Arial"/>
          <w:sz w:val="20"/>
          <w:szCs w:val="20"/>
        </w:rPr>
      </w:pPr>
    </w:p>
    <w:p w:rsidR="00444A3C" w:rsidRDefault="00444A3C" w:rsidP="00444A3C">
      <w:pPr>
        <w:rPr>
          <w:rFonts w:ascii="Arial" w:hAnsi="Arial" w:cs="Arial"/>
          <w:b/>
          <w:sz w:val="20"/>
          <w:szCs w:val="20"/>
          <w:u w:val="single"/>
        </w:rPr>
      </w:pPr>
    </w:p>
    <w:p w:rsidR="00873F77" w:rsidRDefault="00873F77" w:rsidP="00444A3C">
      <w:pPr>
        <w:rPr>
          <w:rFonts w:ascii="Arial" w:hAnsi="Arial" w:cs="Arial"/>
          <w:b/>
          <w:sz w:val="20"/>
          <w:szCs w:val="20"/>
          <w:u w:val="single"/>
        </w:rPr>
      </w:pPr>
    </w:p>
    <w:p w:rsidR="00873F77" w:rsidRDefault="00873F77" w:rsidP="00444A3C">
      <w:pPr>
        <w:rPr>
          <w:rFonts w:ascii="Arial" w:hAnsi="Arial" w:cs="Arial"/>
          <w:b/>
          <w:sz w:val="20"/>
          <w:szCs w:val="20"/>
          <w:u w:val="single"/>
        </w:rPr>
      </w:pPr>
    </w:p>
    <w:p w:rsidR="00873F77" w:rsidRDefault="00873F77" w:rsidP="00444A3C">
      <w:pPr>
        <w:rPr>
          <w:rFonts w:ascii="Arial" w:hAnsi="Arial" w:cs="Arial"/>
          <w:b/>
          <w:sz w:val="20"/>
          <w:szCs w:val="20"/>
          <w:u w:val="single"/>
        </w:rPr>
      </w:pPr>
    </w:p>
    <w:p w:rsidR="00873F77" w:rsidRDefault="00873F77" w:rsidP="00444A3C">
      <w:pPr>
        <w:rPr>
          <w:rFonts w:ascii="Arial" w:hAnsi="Arial" w:cs="Arial"/>
          <w:b/>
          <w:sz w:val="20"/>
          <w:szCs w:val="20"/>
          <w:u w:val="single"/>
        </w:rPr>
      </w:pPr>
      <w:bookmarkStart w:id="15" w:name="_GoBack"/>
      <w:bookmarkEnd w:id="15"/>
    </w:p>
    <w:p w:rsidR="00444A3C" w:rsidRDefault="00444A3C" w:rsidP="00444A3C">
      <w:pPr>
        <w:rPr>
          <w:rFonts w:ascii="Arial" w:hAnsi="Arial" w:cs="Arial"/>
          <w:b/>
          <w:sz w:val="20"/>
          <w:szCs w:val="20"/>
          <w:u w:val="single"/>
        </w:rPr>
      </w:pPr>
    </w:p>
    <w:p w:rsidR="00444A3C" w:rsidRDefault="00444A3C" w:rsidP="00444A3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2"/>
          <w:highlight w:val="lightGray"/>
        </w:rPr>
        <w:lastRenderedPageBreak/>
        <w:t xml:space="preserve">5  </w:t>
      </w:r>
      <w:r w:rsidRPr="00444A3C">
        <w:rPr>
          <w:rFonts w:ascii="Arial" w:hAnsi="Arial" w:cs="Arial"/>
          <w:b/>
          <w:sz w:val="22"/>
          <w:szCs w:val="22"/>
          <w:highlight w:val="lightGray"/>
        </w:rPr>
        <w:t xml:space="preserve">Was zählt zu den außerordentlichen </w:t>
      </w:r>
      <w:r w:rsidR="00DB1C9B">
        <w:rPr>
          <w:rFonts w:ascii="Arial" w:hAnsi="Arial" w:cs="Arial"/>
          <w:b/>
          <w:sz w:val="22"/>
          <w:szCs w:val="22"/>
          <w:highlight w:val="lightGray"/>
        </w:rPr>
        <w:t>Erträgen u.</w:t>
      </w:r>
      <w:r w:rsidRPr="00444A3C">
        <w:rPr>
          <w:rFonts w:ascii="Arial" w:hAnsi="Arial" w:cs="Arial"/>
          <w:b/>
          <w:sz w:val="22"/>
          <w:szCs w:val="22"/>
          <w:highlight w:val="lightGray"/>
        </w:rPr>
        <w:t xml:space="preserve"> außerordentlichen </w:t>
      </w:r>
      <w:r w:rsidR="00DB1C9B">
        <w:rPr>
          <w:rFonts w:ascii="Arial" w:hAnsi="Arial" w:cs="Arial"/>
          <w:b/>
          <w:sz w:val="22"/>
          <w:szCs w:val="22"/>
          <w:highlight w:val="lightGray"/>
        </w:rPr>
        <w:t>Aufwendungen</w:t>
      </w:r>
      <w:r w:rsidRPr="00444A3C">
        <w:rPr>
          <w:rFonts w:ascii="Arial" w:hAnsi="Arial" w:cs="Arial"/>
          <w:b/>
          <w:sz w:val="22"/>
          <w:szCs w:val="22"/>
          <w:highlight w:val="lightGray"/>
        </w:rPr>
        <w:t>?</w:t>
      </w:r>
    </w:p>
    <w:p w:rsidR="00444A3C" w:rsidRDefault="00444A3C" w:rsidP="00444A3C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2140"/>
        <w:gridCol w:w="6452"/>
      </w:tblGrid>
      <w:tr w:rsidR="00444A3C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A3C" w:rsidRDefault="00444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Konto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A3C" w:rsidRDefault="00444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Bezeichnung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A3C" w:rsidRDefault="00444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Inhaltliche Zuordnungsbeispiele</w:t>
            </w:r>
          </w:p>
        </w:tc>
      </w:tr>
      <w:tr w:rsidR="00444A3C">
        <w:trPr>
          <w:trHeight w:val="12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A3C" w:rsidRDefault="00444A3C">
            <w:pPr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8410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A3C" w:rsidRDefault="00444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Außerordentliche</w:t>
            </w:r>
            <w:r>
              <w:rPr>
                <w:rFonts w:ascii="Arial" w:hAnsi="Arial" w:cs="Arial"/>
                <w:sz w:val="16"/>
                <w:szCs w:val="16"/>
              </w:rPr>
              <w:br/>
              <w:t>Erträge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A3C" w:rsidRDefault="00444A3C" w:rsidP="00444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Erträge, die ungewöhnlich sind, selten vorkommen und sich in absehbarer Zeit nicht wiederholen werden, sind den "außergewöhnlichen Erträgen" zuzuordnen. Hierzu zählen z.B. Erträge aus dem Verkauf von Anlagevermögen, Schadenersatzleistungen usw.</w:t>
            </w:r>
          </w:p>
        </w:tc>
      </w:tr>
      <w:tr w:rsidR="00444A3C">
        <w:trPr>
          <w:trHeight w:val="12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A3C" w:rsidRDefault="00444A3C">
            <w:pPr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16"/>
                <w:szCs w:val="16"/>
              </w:rPr>
              <w:t>8420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A3C" w:rsidRDefault="00444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Außerordentliche</w:t>
            </w:r>
            <w:r>
              <w:rPr>
                <w:rFonts w:ascii="Arial" w:hAnsi="Arial" w:cs="Arial"/>
                <w:sz w:val="16"/>
                <w:szCs w:val="16"/>
              </w:rPr>
              <w:br/>
              <w:t>Aufwendungen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A3C" w:rsidRDefault="00444A3C" w:rsidP="00444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Aufwendungen, die ungewöhnlich sind, selten vorkommen und sich in absehbarer Zeit nicht wiederholen werden, sind den "außergewöhnlichen Aufwendungen" zuzuordnen. Hierzu zählen z.B. Aufwendungen aus Betriebsstilllegungen, außerplanmäßige Abschreibungen aus Katastrophenereignissen, auße</w:t>
            </w:r>
            <w:r w:rsidR="008A5804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gewöhnliche Schadensfälle usw.</w:t>
            </w:r>
          </w:p>
        </w:tc>
      </w:tr>
    </w:tbl>
    <w:p w:rsidR="00444A3C" w:rsidRDefault="00444A3C" w:rsidP="00444A3C">
      <w:pPr>
        <w:rPr>
          <w:rFonts w:ascii="Arial" w:hAnsi="Arial" w:cs="Arial"/>
          <w:b/>
          <w:sz w:val="20"/>
          <w:szCs w:val="20"/>
          <w:u w:val="single"/>
        </w:rPr>
      </w:pPr>
    </w:p>
    <w:p w:rsidR="00444A3C" w:rsidRDefault="00444A3C" w:rsidP="00444A3C">
      <w:pPr>
        <w:rPr>
          <w:rFonts w:ascii="Arial" w:hAnsi="Arial" w:cs="Arial"/>
          <w:b/>
          <w:sz w:val="20"/>
          <w:szCs w:val="20"/>
          <w:u w:val="single"/>
        </w:rPr>
      </w:pPr>
    </w:p>
    <w:p w:rsidR="00444A3C" w:rsidRDefault="00444A3C" w:rsidP="00444A3C">
      <w:pPr>
        <w:rPr>
          <w:rFonts w:ascii="Arial" w:hAnsi="Arial" w:cs="Arial"/>
          <w:b/>
          <w:sz w:val="20"/>
          <w:szCs w:val="20"/>
          <w:u w:val="single"/>
        </w:rPr>
      </w:pPr>
    </w:p>
    <w:p w:rsidR="00444A3C" w:rsidRDefault="00444A3C" w:rsidP="00444A3C">
      <w:pPr>
        <w:rPr>
          <w:rFonts w:ascii="Arial" w:hAnsi="Arial" w:cs="Arial"/>
          <w:b/>
          <w:sz w:val="20"/>
          <w:szCs w:val="20"/>
          <w:u w:val="single"/>
        </w:rPr>
      </w:pPr>
    </w:p>
    <w:sectPr w:rsidR="00444A3C" w:rsidSect="00D36B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36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D7" w:rsidRDefault="00AA7AD7">
      <w:r>
        <w:separator/>
      </w:r>
    </w:p>
  </w:endnote>
  <w:endnote w:type="continuationSeparator" w:id="0">
    <w:p w:rsidR="00AA7AD7" w:rsidRDefault="00AA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77" w:rsidRDefault="00873F77" w:rsidP="00873F77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3B9" w:rsidRPr="00AE6BBA" w:rsidRDefault="009F43B9" w:rsidP="009F43B9">
    <w:pPr>
      <w:pStyle w:val="CDFuzeileS1"/>
    </w:pPr>
    <w:r w:rsidRPr="00AE6BBA">
      <w:t>Magistrat der</w:t>
    </w:r>
    <w:r>
      <w:tab/>
      <w:t>Hauptstr. 1-5</w:t>
    </w:r>
  </w:p>
  <w:p w:rsidR="009F43B9" w:rsidRPr="00AE6BBA" w:rsidRDefault="009F43B9" w:rsidP="009F43B9">
    <w:pPr>
      <w:pStyle w:val="CDFuzeileS1"/>
    </w:pPr>
    <w:r w:rsidRPr="00AE6BBA">
      <w:t>Lande</w:t>
    </w:r>
    <w:r>
      <w:t>shauptstadt Linz</w:t>
    </w:r>
    <w:r>
      <w:tab/>
      <w:t>4041 Linz</w:t>
    </w:r>
  </w:p>
  <w:p w:rsidR="009F43B9" w:rsidRPr="00AE6BBA" w:rsidRDefault="009F43B9" w:rsidP="009F43B9">
    <w:pPr>
      <w:pStyle w:val="CDFuzeileS1"/>
    </w:pPr>
    <w:r w:rsidRPr="00F936DF">
      <w:t>Soziales, Jugend und Familie</w:t>
    </w:r>
    <w:r>
      <w:tab/>
      <w:t>bettina.moestl@mag.linz.at</w:t>
    </w:r>
  </w:p>
  <w:p w:rsidR="009F43B9" w:rsidRPr="008D13E6" w:rsidRDefault="009F43B9" w:rsidP="009F43B9">
    <w:pPr>
      <w:pStyle w:val="CDFuzeileS1"/>
    </w:pPr>
    <w:r>
      <w:t>Förderungen Soziales</w:t>
    </w:r>
    <w:r>
      <w:tab/>
    </w:r>
    <w:r w:rsidRPr="002439F1">
      <w:t>+43 732 7070</w:t>
    </w:r>
    <w:r>
      <w:t xml:space="preserve"> 2779</w:t>
    </w:r>
    <w:r w:rsidRPr="00AE6BBA">
      <w:tab/>
      <w:t>linz.at</w:t>
    </w:r>
  </w:p>
  <w:p w:rsidR="009F43B9" w:rsidRDefault="009F43B9">
    <w:pPr>
      <w:pStyle w:val="Fuzeile"/>
    </w:pPr>
  </w:p>
  <w:p w:rsidR="009F43B9" w:rsidRDefault="009F43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D7" w:rsidRDefault="00AA7AD7">
      <w:r>
        <w:separator/>
      </w:r>
    </w:p>
  </w:footnote>
  <w:footnote w:type="continuationSeparator" w:id="0">
    <w:p w:rsidR="00AA7AD7" w:rsidRDefault="00AA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C8" w:rsidRDefault="00AC72C8" w:rsidP="00AC72C8">
    <w:pPr>
      <w:pStyle w:val="KopfDienststelle"/>
      <w:spacing w:before="20"/>
    </w:pPr>
  </w:p>
  <w:p w:rsidR="00AC72C8" w:rsidRDefault="00873F77" w:rsidP="00775101">
    <w:pPr>
      <w:pStyle w:val="KopfDienststelle"/>
      <w:spacing w:before="20"/>
    </w:pPr>
    <w:r>
      <w:pict>
        <v:line id="_x0000_s2054" style="position:absolute;z-index:251657216;mso-position-horizontal-relative:page;mso-position-vertical-relative:page" from="28.35pt,280.65pt" to="35.55pt,280.65pt" o:allowincell="f">
          <w10:wrap anchorx="page" anchory="page"/>
        </v:line>
      </w:pict>
    </w:r>
    <w:r>
      <w:pict>
        <v:line id="_x0000_s2053" style="position:absolute;z-index:251656192;mso-position-horizontal-relative:page;mso-position-vertical-relative:page" from="28.35pt,561.35pt" to="35.55pt,561.35pt" o:allowincell="f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3B9" w:rsidRDefault="009F43B9" w:rsidP="009F43B9"/>
  <w:p w:rsidR="009F43B9" w:rsidRPr="007B37D3" w:rsidRDefault="00873F77" w:rsidP="009F43B9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>
      <w:rPr>
        <w:noProof/>
      </w:rPr>
      <w:pict>
        <v:line id="Line 3" o:spid="_x0000_s2069" style="position:absolute;z-index:251660288;visibility:visible;mso-wrap-distance-top:-8e-5mm;mso-wrap-distance-bottom:-8e-5mm;mso-position-horizontal-relative:page;mso-position-vertical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z3hwIAAGAFAAAOAAAAZHJzL2Uyb0RvYy54bWysVE2P2yAQvVfqf0C+e/0R58vaZLXrOL1s&#10;25V2q54J4BgVgwUkTlT1v3fAsbvZXqpqbQkxwDzezJvh9u7UCHRk2nAlV0FyEweISaIol/tV8O1l&#10;Gy4CZCyWFAsl2So4MxPcrT9+uO3anKWqVoIyjQBEmrxrV0FtbZtHkSE1a7C5US2TsFkp3WALpt5H&#10;VOMO0BsRpXE8izqlaasVYcbA6qbfDNYev6oYsV+ryjCLxCoAbtaP2o87N0brW5zvNW5rTi408H+w&#10;aDCXcOkItcEWo4Pmf0E1nGhlVGVviGoiVVWcMB8DRJPEb6J5rnHLfCyQHNOOaTLvB0u+HJ804hS0&#10;SwMkcQMaPXLJ0MSlpmtNDicK+aRdcOQkn9tHRX4YJFVRY7lnnuLLuQW3xHlEVy7OMC1csOs+Kwpn&#10;8MEqn6dTpRsHCRlAJy/HeZSDnSwisLhMsgw0I8NOhPPBrdXGfmKqQW6yCgQw9rD4+Giso4Hz4Yi7&#10;RaotF8JrLSTqAHqaTr2DUYJTt+mOGb3fFUKjI3bV4j8fE+y8PqbVQVIPVjNMy8vcYi76OVwupMNj&#10;vgB7RmCdLEz9OgToi+PnMl6Wi3KRhVk6K8Ms3mzC+22RhbNtMp9uJpui2CS/HNEky2tOKZOO61Co&#10;SfZvhXBpmb7ExlIdkxJdo/vsAdlrpvfbaTzPJotwPp9OwmxSxuHDYluE90Uym83Lh+KhfMO09NGb&#10;9yE7ptKxUgfL9HNNO0S5k38yXaZJAAY0djrvdUNY7OFFIlYHSCv7ndva16qrModxpfUidv9F6xG9&#10;T8SgobNGFS6x/UkVaD7o61vAVX3fPztFz096aA1oY+90eXLcO/Hahvnrh3H9Gw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W&#10;TPz3hwIAAGAFAAAOAAAAAAAAAAAAAAAAAC4CAABkcnMvZTJvRG9jLnhtbFBLAQItABQABgAIAAAA&#10;IQCewpC13AAAAAkBAAAPAAAAAAAAAAAAAAAAAOEEAABkcnMvZG93bnJldi54bWxQSwUGAAAAAAQA&#10;BADzAAAA6gUAAAAA&#10;" o:allowincell="f">
          <w10:wrap anchorx="page" anchory="page"/>
        </v:line>
      </w:pict>
    </w:r>
    <w:r>
      <w:rPr>
        <w:noProof/>
      </w:rPr>
      <w:pict>
        <v:line id="Line 2" o:spid="_x0000_s2068" style="position:absolute;z-index:251659264;visibility:visible;mso-wrap-distance-top:-8e-5mm;mso-wrap-distance-bottom:-8e-5mm;mso-position-horizontal-relative:page;mso-position-vertical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/8hwIAAGAFAAAOAAAAZHJzL2Uyb0RvYy54bWysVMtu2zAQvBfoPxC6K3pYfgmxg0SWe0nb&#10;AEnRM01SFlGKFEjaslH037ukLDVOL0URGxD42uHszixv706NQEemDVdyFSQ3cYCYJIpyuV8F3162&#10;4SJAxmJJsVCSrYIzM8Hd+uOH267NWapqJSjTCECkybt2FdTWtnkUGVKzBpsb1TIJm5XSDbYw1fuI&#10;atwBeiOiNI5nUac0bbUizBhY3fSbwdrjVxUj9mtVGWaRWAXAzfqv9t+d+0brW5zvNW5rTi408H+w&#10;aDCXcOkItcEWo4Pmf0E1nGhlVGVviGoiVVWcMJ8DZJPEb7J5rnHLfC5QHNOOZTLvB0u+HJ804hS0&#10;SwIkcQMaPXLJUOpK07UmhxOFfNIuOXKSz+2jIj8MkqqosdwzT/Hl3EJY4iKiqxA3MS1csOs+Kwpn&#10;8MEqX6dTpRsHCRVAJy/HeZSDnSwisLhMsgw0I8NOhPMhrNXGfmKqQW6wCgQw9rD4+Giso4Hz4Yi7&#10;RaotF8JrLSTqAHqaTn2AUYJTt+mOGb3fFUKjI3Zu8T+fE+y8PqbVQVIPVjNMy8vYYi76MVwupMNj&#10;3oA9I5idLAz9OiTozfFzGS/LRbnIwiydlWEWbzbh/bbIwtk2mU83k01RbJJfjmiS5TWnlEnHdTBq&#10;kv2bES4t01tstOpYlOga3VcPyF4zvd9O43k2WYTz+XQSZpMyDh8W2yK8L5LZbF4+FA/lG6alz968&#10;D9mxlI6VOlimn2vaIcqd/JPpMgX3Ug6Nnc573RAWe3iRiNUB0sp+57b2XnUucxhXWi9i979oPaL3&#10;hRg0dLNRhUtuf0oFmg/6+hZwru/7Z6fo+UkPrQFt7IMuT457J17PYfz6YVz/Bg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T6pf/IcCAABgBQAADgAAAAAAAAAAAAAAAAAuAgAAZHJzL2Uyb0RvYy54bWxQSwECLQAUAAYACAAA&#10;ACEAJkqrmN0AAAALAQAADwAAAAAAAAAAAAAAAADhBAAAZHJzL2Rvd25yZXYueG1sUEsFBgAAAAAE&#10;AAQA8wAAAOsFAAAAAA==&#10;" o:allowincell="f">
          <w10:wrap anchorx="page" anchory="page"/>
        </v:lin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70" type="#_x0000_t75" style="position:absolute;margin-left:215.6pt;margin-top:-13.8pt;width:265.85pt;height:36.85pt;z-index:251661312;visibility:visible;mso-width-relative:margin;mso-height-relative:margin">
          <v:imagedata r:id="rId1" o:title="LinzLogo_SJF"/>
        </v:shape>
      </w:pict>
    </w:r>
  </w:p>
  <w:p w:rsidR="009F43B9" w:rsidRDefault="009F43B9" w:rsidP="009F43B9"/>
  <w:p w:rsidR="003E39E5" w:rsidRPr="009F43B9" w:rsidRDefault="003E39E5" w:rsidP="009F43B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6B1"/>
    <w:rsid w:val="00002963"/>
    <w:rsid w:val="000031C9"/>
    <w:rsid w:val="000042AC"/>
    <w:rsid w:val="000070CB"/>
    <w:rsid w:val="00012690"/>
    <w:rsid w:val="0001503E"/>
    <w:rsid w:val="000204E8"/>
    <w:rsid w:val="0002124F"/>
    <w:rsid w:val="00026536"/>
    <w:rsid w:val="000433EC"/>
    <w:rsid w:val="000511FD"/>
    <w:rsid w:val="0005632F"/>
    <w:rsid w:val="0006203B"/>
    <w:rsid w:val="00066DB5"/>
    <w:rsid w:val="000711E3"/>
    <w:rsid w:val="00074451"/>
    <w:rsid w:val="000764DA"/>
    <w:rsid w:val="00077D4C"/>
    <w:rsid w:val="00081462"/>
    <w:rsid w:val="00084ECB"/>
    <w:rsid w:val="0008546A"/>
    <w:rsid w:val="000862E0"/>
    <w:rsid w:val="00087000"/>
    <w:rsid w:val="00090828"/>
    <w:rsid w:val="000915AE"/>
    <w:rsid w:val="00092701"/>
    <w:rsid w:val="000936DB"/>
    <w:rsid w:val="000964BB"/>
    <w:rsid w:val="00097869"/>
    <w:rsid w:val="000A1256"/>
    <w:rsid w:val="000A3C70"/>
    <w:rsid w:val="000A44EC"/>
    <w:rsid w:val="000A67AF"/>
    <w:rsid w:val="000A67DE"/>
    <w:rsid w:val="000B303D"/>
    <w:rsid w:val="000B5532"/>
    <w:rsid w:val="000C19BE"/>
    <w:rsid w:val="000C4C57"/>
    <w:rsid w:val="000C6AD8"/>
    <w:rsid w:val="000D095C"/>
    <w:rsid w:val="000D26B6"/>
    <w:rsid w:val="000D26E5"/>
    <w:rsid w:val="000D3472"/>
    <w:rsid w:val="000E05B6"/>
    <w:rsid w:val="000E1CAB"/>
    <w:rsid w:val="000E1D97"/>
    <w:rsid w:val="000E530B"/>
    <w:rsid w:val="000E73B0"/>
    <w:rsid w:val="000F0FE1"/>
    <w:rsid w:val="000F1841"/>
    <w:rsid w:val="000F578B"/>
    <w:rsid w:val="000F6FDF"/>
    <w:rsid w:val="00100F10"/>
    <w:rsid w:val="00103F0D"/>
    <w:rsid w:val="0010488B"/>
    <w:rsid w:val="00116F5E"/>
    <w:rsid w:val="0011720D"/>
    <w:rsid w:val="001211EF"/>
    <w:rsid w:val="00135D6B"/>
    <w:rsid w:val="00136D63"/>
    <w:rsid w:val="00143EAF"/>
    <w:rsid w:val="00144D33"/>
    <w:rsid w:val="001518BE"/>
    <w:rsid w:val="001633B2"/>
    <w:rsid w:val="001644A8"/>
    <w:rsid w:val="00164619"/>
    <w:rsid w:val="00164BFE"/>
    <w:rsid w:val="00171E41"/>
    <w:rsid w:val="001734E3"/>
    <w:rsid w:val="00182B5C"/>
    <w:rsid w:val="0018547C"/>
    <w:rsid w:val="00194416"/>
    <w:rsid w:val="001A2286"/>
    <w:rsid w:val="001A3619"/>
    <w:rsid w:val="001A554A"/>
    <w:rsid w:val="001A609D"/>
    <w:rsid w:val="001A6255"/>
    <w:rsid w:val="001B4DE0"/>
    <w:rsid w:val="001C23C9"/>
    <w:rsid w:val="001C35FC"/>
    <w:rsid w:val="001C4502"/>
    <w:rsid w:val="001C5872"/>
    <w:rsid w:val="001D160D"/>
    <w:rsid w:val="001D2910"/>
    <w:rsid w:val="001D44B4"/>
    <w:rsid w:val="001D5FE5"/>
    <w:rsid w:val="001D7659"/>
    <w:rsid w:val="001E1C19"/>
    <w:rsid w:val="001E484B"/>
    <w:rsid w:val="001F43A3"/>
    <w:rsid w:val="001F4DC0"/>
    <w:rsid w:val="00200C36"/>
    <w:rsid w:val="002060E3"/>
    <w:rsid w:val="002207C4"/>
    <w:rsid w:val="002214F5"/>
    <w:rsid w:val="00222FB6"/>
    <w:rsid w:val="00225C6C"/>
    <w:rsid w:val="00234293"/>
    <w:rsid w:val="00234308"/>
    <w:rsid w:val="00237BCC"/>
    <w:rsid w:val="002409A9"/>
    <w:rsid w:val="00241728"/>
    <w:rsid w:val="0024645B"/>
    <w:rsid w:val="002510E5"/>
    <w:rsid w:val="00257653"/>
    <w:rsid w:val="00260267"/>
    <w:rsid w:val="00261266"/>
    <w:rsid w:val="00263515"/>
    <w:rsid w:val="00264C0E"/>
    <w:rsid w:val="00264FDD"/>
    <w:rsid w:val="0027393E"/>
    <w:rsid w:val="00275748"/>
    <w:rsid w:val="00275B7B"/>
    <w:rsid w:val="002832EA"/>
    <w:rsid w:val="0028363D"/>
    <w:rsid w:val="002847B6"/>
    <w:rsid w:val="00285E6A"/>
    <w:rsid w:val="00287E18"/>
    <w:rsid w:val="00291C5B"/>
    <w:rsid w:val="00293A1F"/>
    <w:rsid w:val="002A0D73"/>
    <w:rsid w:val="002A2915"/>
    <w:rsid w:val="002A368A"/>
    <w:rsid w:val="002A47C4"/>
    <w:rsid w:val="002A496E"/>
    <w:rsid w:val="002A54DB"/>
    <w:rsid w:val="002B67DF"/>
    <w:rsid w:val="002C0809"/>
    <w:rsid w:val="002C42BD"/>
    <w:rsid w:val="002C5D6C"/>
    <w:rsid w:val="002C7910"/>
    <w:rsid w:val="002D0DBF"/>
    <w:rsid w:val="002D0F4F"/>
    <w:rsid w:val="002D1E7D"/>
    <w:rsid w:val="002D34AA"/>
    <w:rsid w:val="002D42C2"/>
    <w:rsid w:val="002D6534"/>
    <w:rsid w:val="002E2FDD"/>
    <w:rsid w:val="002F1EF4"/>
    <w:rsid w:val="003037E0"/>
    <w:rsid w:val="00304276"/>
    <w:rsid w:val="00307CB5"/>
    <w:rsid w:val="0031076C"/>
    <w:rsid w:val="00313AF8"/>
    <w:rsid w:val="003163E3"/>
    <w:rsid w:val="00316597"/>
    <w:rsid w:val="00317416"/>
    <w:rsid w:val="00317936"/>
    <w:rsid w:val="003204EB"/>
    <w:rsid w:val="00331983"/>
    <w:rsid w:val="0033281A"/>
    <w:rsid w:val="003378DA"/>
    <w:rsid w:val="00343F5D"/>
    <w:rsid w:val="003445D1"/>
    <w:rsid w:val="003453AC"/>
    <w:rsid w:val="003458F9"/>
    <w:rsid w:val="00352394"/>
    <w:rsid w:val="00352614"/>
    <w:rsid w:val="003568EB"/>
    <w:rsid w:val="00356F6D"/>
    <w:rsid w:val="003604EB"/>
    <w:rsid w:val="00360EFF"/>
    <w:rsid w:val="0036270E"/>
    <w:rsid w:val="00364827"/>
    <w:rsid w:val="00367E67"/>
    <w:rsid w:val="0037399A"/>
    <w:rsid w:val="003752BE"/>
    <w:rsid w:val="00375402"/>
    <w:rsid w:val="00376DBB"/>
    <w:rsid w:val="00381CAB"/>
    <w:rsid w:val="00383AB6"/>
    <w:rsid w:val="00386531"/>
    <w:rsid w:val="00395E6B"/>
    <w:rsid w:val="00396C82"/>
    <w:rsid w:val="00397E14"/>
    <w:rsid w:val="003A1351"/>
    <w:rsid w:val="003A3CA8"/>
    <w:rsid w:val="003A6343"/>
    <w:rsid w:val="003A70B8"/>
    <w:rsid w:val="003A7645"/>
    <w:rsid w:val="003B1AD5"/>
    <w:rsid w:val="003B5068"/>
    <w:rsid w:val="003C0D46"/>
    <w:rsid w:val="003C31CB"/>
    <w:rsid w:val="003C66F3"/>
    <w:rsid w:val="003D4F94"/>
    <w:rsid w:val="003D72B9"/>
    <w:rsid w:val="003D762F"/>
    <w:rsid w:val="003E0C70"/>
    <w:rsid w:val="003E1DCD"/>
    <w:rsid w:val="003E39E5"/>
    <w:rsid w:val="003E4655"/>
    <w:rsid w:val="003E6316"/>
    <w:rsid w:val="003E6ADB"/>
    <w:rsid w:val="003F0135"/>
    <w:rsid w:val="003F2ADE"/>
    <w:rsid w:val="003F508F"/>
    <w:rsid w:val="00402194"/>
    <w:rsid w:val="004062C5"/>
    <w:rsid w:val="004112AC"/>
    <w:rsid w:val="00414872"/>
    <w:rsid w:val="0041773A"/>
    <w:rsid w:val="00423555"/>
    <w:rsid w:val="00423FE9"/>
    <w:rsid w:val="00430217"/>
    <w:rsid w:val="004314FC"/>
    <w:rsid w:val="00431AA2"/>
    <w:rsid w:val="004334DA"/>
    <w:rsid w:val="00433CFF"/>
    <w:rsid w:val="00442401"/>
    <w:rsid w:val="00444A3C"/>
    <w:rsid w:val="004472C3"/>
    <w:rsid w:val="0045106C"/>
    <w:rsid w:val="0045502E"/>
    <w:rsid w:val="004618BF"/>
    <w:rsid w:val="00463782"/>
    <w:rsid w:val="0047010A"/>
    <w:rsid w:val="00472943"/>
    <w:rsid w:val="00473E38"/>
    <w:rsid w:val="00474A8B"/>
    <w:rsid w:val="00477DBD"/>
    <w:rsid w:val="004803A9"/>
    <w:rsid w:val="00486465"/>
    <w:rsid w:val="00493143"/>
    <w:rsid w:val="00493F62"/>
    <w:rsid w:val="0049586E"/>
    <w:rsid w:val="00496ED4"/>
    <w:rsid w:val="004A0692"/>
    <w:rsid w:val="004A0855"/>
    <w:rsid w:val="004A092B"/>
    <w:rsid w:val="004A1D85"/>
    <w:rsid w:val="004A24A1"/>
    <w:rsid w:val="004A2A55"/>
    <w:rsid w:val="004A536C"/>
    <w:rsid w:val="004A62F9"/>
    <w:rsid w:val="004B3B10"/>
    <w:rsid w:val="004B4F7A"/>
    <w:rsid w:val="004B59C1"/>
    <w:rsid w:val="004B5D8E"/>
    <w:rsid w:val="004B6278"/>
    <w:rsid w:val="004C0279"/>
    <w:rsid w:val="004D06D7"/>
    <w:rsid w:val="004D39B0"/>
    <w:rsid w:val="004D3C3B"/>
    <w:rsid w:val="004D76AB"/>
    <w:rsid w:val="004E2CE0"/>
    <w:rsid w:val="004E4B9B"/>
    <w:rsid w:val="004E521E"/>
    <w:rsid w:val="004E59A2"/>
    <w:rsid w:val="004E5C7B"/>
    <w:rsid w:val="004E7FF9"/>
    <w:rsid w:val="004F42AE"/>
    <w:rsid w:val="004F53D2"/>
    <w:rsid w:val="00500C27"/>
    <w:rsid w:val="0050558D"/>
    <w:rsid w:val="00506CF3"/>
    <w:rsid w:val="005074C9"/>
    <w:rsid w:val="00507A12"/>
    <w:rsid w:val="005132D3"/>
    <w:rsid w:val="00513577"/>
    <w:rsid w:val="00516BDB"/>
    <w:rsid w:val="005225A2"/>
    <w:rsid w:val="00522FFB"/>
    <w:rsid w:val="005245EF"/>
    <w:rsid w:val="00532021"/>
    <w:rsid w:val="00540571"/>
    <w:rsid w:val="0055005F"/>
    <w:rsid w:val="00550D98"/>
    <w:rsid w:val="00555EAB"/>
    <w:rsid w:val="00556F74"/>
    <w:rsid w:val="005571FF"/>
    <w:rsid w:val="005573CD"/>
    <w:rsid w:val="00561180"/>
    <w:rsid w:val="00567D14"/>
    <w:rsid w:val="00570BFC"/>
    <w:rsid w:val="005719C9"/>
    <w:rsid w:val="00573AA4"/>
    <w:rsid w:val="00573F72"/>
    <w:rsid w:val="0057650C"/>
    <w:rsid w:val="005776E5"/>
    <w:rsid w:val="005803B6"/>
    <w:rsid w:val="00584998"/>
    <w:rsid w:val="00584D46"/>
    <w:rsid w:val="00584D95"/>
    <w:rsid w:val="00586CAD"/>
    <w:rsid w:val="0059547C"/>
    <w:rsid w:val="005968BC"/>
    <w:rsid w:val="00597357"/>
    <w:rsid w:val="005A66CD"/>
    <w:rsid w:val="005A7DC3"/>
    <w:rsid w:val="005B5A66"/>
    <w:rsid w:val="005B636A"/>
    <w:rsid w:val="005B72EE"/>
    <w:rsid w:val="005B7C85"/>
    <w:rsid w:val="005C12C1"/>
    <w:rsid w:val="005C3DCC"/>
    <w:rsid w:val="005C571E"/>
    <w:rsid w:val="005C7ADA"/>
    <w:rsid w:val="005D191A"/>
    <w:rsid w:val="005D6BF2"/>
    <w:rsid w:val="005D7A76"/>
    <w:rsid w:val="005E4AAB"/>
    <w:rsid w:val="005F116B"/>
    <w:rsid w:val="005F1AFF"/>
    <w:rsid w:val="005F2450"/>
    <w:rsid w:val="005F31F7"/>
    <w:rsid w:val="005F7215"/>
    <w:rsid w:val="00602A14"/>
    <w:rsid w:val="00605A5B"/>
    <w:rsid w:val="00607B50"/>
    <w:rsid w:val="00607EE6"/>
    <w:rsid w:val="0061118E"/>
    <w:rsid w:val="00616EC8"/>
    <w:rsid w:val="006217C3"/>
    <w:rsid w:val="00621B92"/>
    <w:rsid w:val="00621CA2"/>
    <w:rsid w:val="006247F0"/>
    <w:rsid w:val="00624A81"/>
    <w:rsid w:val="00624EBA"/>
    <w:rsid w:val="00631192"/>
    <w:rsid w:val="00631A8B"/>
    <w:rsid w:val="00635129"/>
    <w:rsid w:val="0063652E"/>
    <w:rsid w:val="00636550"/>
    <w:rsid w:val="006409F8"/>
    <w:rsid w:val="00642C60"/>
    <w:rsid w:val="00643F64"/>
    <w:rsid w:val="006516B1"/>
    <w:rsid w:val="00654ADB"/>
    <w:rsid w:val="00657D45"/>
    <w:rsid w:val="006610DD"/>
    <w:rsid w:val="00661344"/>
    <w:rsid w:val="00664638"/>
    <w:rsid w:val="006762FB"/>
    <w:rsid w:val="00684511"/>
    <w:rsid w:val="006A104A"/>
    <w:rsid w:val="006A320D"/>
    <w:rsid w:val="006A50FE"/>
    <w:rsid w:val="006A5FE0"/>
    <w:rsid w:val="006A6CD9"/>
    <w:rsid w:val="006B579C"/>
    <w:rsid w:val="006B57EF"/>
    <w:rsid w:val="006B70CB"/>
    <w:rsid w:val="006C1829"/>
    <w:rsid w:val="006C1E2E"/>
    <w:rsid w:val="006C421A"/>
    <w:rsid w:val="006C42FF"/>
    <w:rsid w:val="006D4846"/>
    <w:rsid w:val="006D6257"/>
    <w:rsid w:val="006E28B4"/>
    <w:rsid w:val="006E2B0C"/>
    <w:rsid w:val="006E3D67"/>
    <w:rsid w:val="006F5ACA"/>
    <w:rsid w:val="006F6253"/>
    <w:rsid w:val="00700F08"/>
    <w:rsid w:val="00701432"/>
    <w:rsid w:val="00702680"/>
    <w:rsid w:val="00703B3A"/>
    <w:rsid w:val="00705A32"/>
    <w:rsid w:val="007061B7"/>
    <w:rsid w:val="00710E65"/>
    <w:rsid w:val="00713636"/>
    <w:rsid w:val="00722715"/>
    <w:rsid w:val="00722C84"/>
    <w:rsid w:val="00724A24"/>
    <w:rsid w:val="007279A1"/>
    <w:rsid w:val="00734D81"/>
    <w:rsid w:val="0074558B"/>
    <w:rsid w:val="00751DF0"/>
    <w:rsid w:val="0075252B"/>
    <w:rsid w:val="007527A6"/>
    <w:rsid w:val="00755F03"/>
    <w:rsid w:val="00760639"/>
    <w:rsid w:val="00764EF3"/>
    <w:rsid w:val="0076532B"/>
    <w:rsid w:val="00767BE5"/>
    <w:rsid w:val="00775101"/>
    <w:rsid w:val="007778F5"/>
    <w:rsid w:val="00781722"/>
    <w:rsid w:val="00783571"/>
    <w:rsid w:val="00784B20"/>
    <w:rsid w:val="00792F5A"/>
    <w:rsid w:val="007951B6"/>
    <w:rsid w:val="007A2031"/>
    <w:rsid w:val="007A25CC"/>
    <w:rsid w:val="007A3666"/>
    <w:rsid w:val="007B0811"/>
    <w:rsid w:val="007B10CC"/>
    <w:rsid w:val="007B29FD"/>
    <w:rsid w:val="007B4039"/>
    <w:rsid w:val="007B629F"/>
    <w:rsid w:val="007B6FE1"/>
    <w:rsid w:val="007C0245"/>
    <w:rsid w:val="007C32D2"/>
    <w:rsid w:val="007C5506"/>
    <w:rsid w:val="007C6CFD"/>
    <w:rsid w:val="007C71F2"/>
    <w:rsid w:val="007D6B38"/>
    <w:rsid w:val="007D6BC6"/>
    <w:rsid w:val="007E1C16"/>
    <w:rsid w:val="007E48A9"/>
    <w:rsid w:val="007F4889"/>
    <w:rsid w:val="007F521E"/>
    <w:rsid w:val="007F583D"/>
    <w:rsid w:val="007F5E5C"/>
    <w:rsid w:val="008032FB"/>
    <w:rsid w:val="0080398A"/>
    <w:rsid w:val="00805086"/>
    <w:rsid w:val="008118F2"/>
    <w:rsid w:val="00815B66"/>
    <w:rsid w:val="0082147B"/>
    <w:rsid w:val="00827888"/>
    <w:rsid w:val="00827F16"/>
    <w:rsid w:val="008400ED"/>
    <w:rsid w:val="008405B6"/>
    <w:rsid w:val="00840CEE"/>
    <w:rsid w:val="00841032"/>
    <w:rsid w:val="00844C86"/>
    <w:rsid w:val="00845F35"/>
    <w:rsid w:val="0085477D"/>
    <w:rsid w:val="008565DB"/>
    <w:rsid w:val="00856C24"/>
    <w:rsid w:val="00860289"/>
    <w:rsid w:val="00860577"/>
    <w:rsid w:val="008613EB"/>
    <w:rsid w:val="00861A11"/>
    <w:rsid w:val="0086362C"/>
    <w:rsid w:val="00867993"/>
    <w:rsid w:val="00872033"/>
    <w:rsid w:val="00873F77"/>
    <w:rsid w:val="00890939"/>
    <w:rsid w:val="00893AC0"/>
    <w:rsid w:val="00895418"/>
    <w:rsid w:val="008A42DD"/>
    <w:rsid w:val="008A50F1"/>
    <w:rsid w:val="008A5804"/>
    <w:rsid w:val="008A69C7"/>
    <w:rsid w:val="008B0802"/>
    <w:rsid w:val="008B3B08"/>
    <w:rsid w:val="008B44F8"/>
    <w:rsid w:val="008B6B94"/>
    <w:rsid w:val="008C4B89"/>
    <w:rsid w:val="008C5034"/>
    <w:rsid w:val="008C58B6"/>
    <w:rsid w:val="008C5940"/>
    <w:rsid w:val="008C6C50"/>
    <w:rsid w:val="008D10EB"/>
    <w:rsid w:val="008D198B"/>
    <w:rsid w:val="008D72F0"/>
    <w:rsid w:val="008E18FC"/>
    <w:rsid w:val="008E3785"/>
    <w:rsid w:val="008E3CA6"/>
    <w:rsid w:val="008E47A3"/>
    <w:rsid w:val="008E7555"/>
    <w:rsid w:val="008F37B0"/>
    <w:rsid w:val="008F400A"/>
    <w:rsid w:val="008F44FC"/>
    <w:rsid w:val="008F4FD6"/>
    <w:rsid w:val="00900171"/>
    <w:rsid w:val="00905891"/>
    <w:rsid w:val="00920AF9"/>
    <w:rsid w:val="00922DE3"/>
    <w:rsid w:val="009247C0"/>
    <w:rsid w:val="00935784"/>
    <w:rsid w:val="009368B3"/>
    <w:rsid w:val="00937E53"/>
    <w:rsid w:val="009408C4"/>
    <w:rsid w:val="00940F1B"/>
    <w:rsid w:val="009413C4"/>
    <w:rsid w:val="009422A7"/>
    <w:rsid w:val="00943899"/>
    <w:rsid w:val="009503D5"/>
    <w:rsid w:val="00951C1C"/>
    <w:rsid w:val="00952ECD"/>
    <w:rsid w:val="009536FB"/>
    <w:rsid w:val="00955357"/>
    <w:rsid w:val="00956799"/>
    <w:rsid w:val="009604C2"/>
    <w:rsid w:val="00960FCA"/>
    <w:rsid w:val="009702AF"/>
    <w:rsid w:val="00970C90"/>
    <w:rsid w:val="00971340"/>
    <w:rsid w:val="009729E7"/>
    <w:rsid w:val="009730B4"/>
    <w:rsid w:val="0097647D"/>
    <w:rsid w:val="00976745"/>
    <w:rsid w:val="00976CB1"/>
    <w:rsid w:val="00982998"/>
    <w:rsid w:val="009832CA"/>
    <w:rsid w:val="009876C5"/>
    <w:rsid w:val="00987898"/>
    <w:rsid w:val="00991E80"/>
    <w:rsid w:val="00992EBA"/>
    <w:rsid w:val="009968D5"/>
    <w:rsid w:val="00996D57"/>
    <w:rsid w:val="009A328F"/>
    <w:rsid w:val="009A3BBD"/>
    <w:rsid w:val="009B0887"/>
    <w:rsid w:val="009B21EB"/>
    <w:rsid w:val="009C6260"/>
    <w:rsid w:val="009C7DEF"/>
    <w:rsid w:val="009D03EE"/>
    <w:rsid w:val="009D0E1A"/>
    <w:rsid w:val="009D6E42"/>
    <w:rsid w:val="009E0B2B"/>
    <w:rsid w:val="009E1343"/>
    <w:rsid w:val="009E295C"/>
    <w:rsid w:val="009E5389"/>
    <w:rsid w:val="009E6293"/>
    <w:rsid w:val="009F043B"/>
    <w:rsid w:val="009F0704"/>
    <w:rsid w:val="009F3DFE"/>
    <w:rsid w:val="009F4094"/>
    <w:rsid w:val="009F43B9"/>
    <w:rsid w:val="009F75C6"/>
    <w:rsid w:val="00A006DD"/>
    <w:rsid w:val="00A017E0"/>
    <w:rsid w:val="00A018AB"/>
    <w:rsid w:val="00A01C83"/>
    <w:rsid w:val="00A02578"/>
    <w:rsid w:val="00A0562D"/>
    <w:rsid w:val="00A068F6"/>
    <w:rsid w:val="00A06C2D"/>
    <w:rsid w:val="00A1142E"/>
    <w:rsid w:val="00A118CB"/>
    <w:rsid w:val="00A11B78"/>
    <w:rsid w:val="00A1547F"/>
    <w:rsid w:val="00A15EED"/>
    <w:rsid w:val="00A20716"/>
    <w:rsid w:val="00A215B1"/>
    <w:rsid w:val="00A26989"/>
    <w:rsid w:val="00A30107"/>
    <w:rsid w:val="00A30887"/>
    <w:rsid w:val="00A4357C"/>
    <w:rsid w:val="00A4559E"/>
    <w:rsid w:val="00A530A4"/>
    <w:rsid w:val="00A53E5B"/>
    <w:rsid w:val="00A56A53"/>
    <w:rsid w:val="00A571D3"/>
    <w:rsid w:val="00A60370"/>
    <w:rsid w:val="00A6237C"/>
    <w:rsid w:val="00A625F8"/>
    <w:rsid w:val="00A6568D"/>
    <w:rsid w:val="00A77CC9"/>
    <w:rsid w:val="00A82B2A"/>
    <w:rsid w:val="00A929A2"/>
    <w:rsid w:val="00A96B3B"/>
    <w:rsid w:val="00AA6FB7"/>
    <w:rsid w:val="00AA7AD7"/>
    <w:rsid w:val="00AA7FE1"/>
    <w:rsid w:val="00AB0969"/>
    <w:rsid w:val="00AB264F"/>
    <w:rsid w:val="00AB432E"/>
    <w:rsid w:val="00AB4F70"/>
    <w:rsid w:val="00AB530D"/>
    <w:rsid w:val="00AC5176"/>
    <w:rsid w:val="00AC6A5C"/>
    <w:rsid w:val="00AC7012"/>
    <w:rsid w:val="00AC72C8"/>
    <w:rsid w:val="00AD3397"/>
    <w:rsid w:val="00AD61C8"/>
    <w:rsid w:val="00AD6519"/>
    <w:rsid w:val="00AE0576"/>
    <w:rsid w:val="00AE0E57"/>
    <w:rsid w:val="00AE2525"/>
    <w:rsid w:val="00AE4502"/>
    <w:rsid w:val="00AE63B7"/>
    <w:rsid w:val="00AE7247"/>
    <w:rsid w:val="00AE75E8"/>
    <w:rsid w:val="00AF047D"/>
    <w:rsid w:val="00AF1873"/>
    <w:rsid w:val="00B01332"/>
    <w:rsid w:val="00B04748"/>
    <w:rsid w:val="00B054F8"/>
    <w:rsid w:val="00B066F3"/>
    <w:rsid w:val="00B12E6C"/>
    <w:rsid w:val="00B13240"/>
    <w:rsid w:val="00B15599"/>
    <w:rsid w:val="00B1649F"/>
    <w:rsid w:val="00B20A0D"/>
    <w:rsid w:val="00B2179B"/>
    <w:rsid w:val="00B22EEC"/>
    <w:rsid w:val="00B259F9"/>
    <w:rsid w:val="00B318C2"/>
    <w:rsid w:val="00B32213"/>
    <w:rsid w:val="00B32C02"/>
    <w:rsid w:val="00B36032"/>
    <w:rsid w:val="00B42CDC"/>
    <w:rsid w:val="00B53888"/>
    <w:rsid w:val="00B56154"/>
    <w:rsid w:val="00B578E0"/>
    <w:rsid w:val="00B65F52"/>
    <w:rsid w:val="00B72FD3"/>
    <w:rsid w:val="00B76924"/>
    <w:rsid w:val="00B82E66"/>
    <w:rsid w:val="00B83CE3"/>
    <w:rsid w:val="00B844C9"/>
    <w:rsid w:val="00B84B4F"/>
    <w:rsid w:val="00B9559F"/>
    <w:rsid w:val="00B95B1F"/>
    <w:rsid w:val="00BA0EB0"/>
    <w:rsid w:val="00BA1963"/>
    <w:rsid w:val="00BA47A3"/>
    <w:rsid w:val="00BA7329"/>
    <w:rsid w:val="00BB0FC6"/>
    <w:rsid w:val="00BB1E1A"/>
    <w:rsid w:val="00BB1F62"/>
    <w:rsid w:val="00BC68C2"/>
    <w:rsid w:val="00BD6849"/>
    <w:rsid w:val="00BD6A42"/>
    <w:rsid w:val="00BE0830"/>
    <w:rsid w:val="00BE4181"/>
    <w:rsid w:val="00BE4336"/>
    <w:rsid w:val="00BF09D5"/>
    <w:rsid w:val="00BF2763"/>
    <w:rsid w:val="00BF36C7"/>
    <w:rsid w:val="00BF3DA4"/>
    <w:rsid w:val="00BF51EE"/>
    <w:rsid w:val="00BF5351"/>
    <w:rsid w:val="00C025F9"/>
    <w:rsid w:val="00C04E51"/>
    <w:rsid w:val="00C06F5D"/>
    <w:rsid w:val="00C11113"/>
    <w:rsid w:val="00C12EAB"/>
    <w:rsid w:val="00C134D1"/>
    <w:rsid w:val="00C138BD"/>
    <w:rsid w:val="00C248F4"/>
    <w:rsid w:val="00C260E7"/>
    <w:rsid w:val="00C27978"/>
    <w:rsid w:val="00C34FD6"/>
    <w:rsid w:val="00C457C9"/>
    <w:rsid w:val="00C522E4"/>
    <w:rsid w:val="00C56659"/>
    <w:rsid w:val="00C67CC2"/>
    <w:rsid w:val="00C87F81"/>
    <w:rsid w:val="00C93CE0"/>
    <w:rsid w:val="00CA05B2"/>
    <w:rsid w:val="00CB12DD"/>
    <w:rsid w:val="00CB22E7"/>
    <w:rsid w:val="00CB474B"/>
    <w:rsid w:val="00CB4B3D"/>
    <w:rsid w:val="00CB705A"/>
    <w:rsid w:val="00CC096A"/>
    <w:rsid w:val="00CC26AC"/>
    <w:rsid w:val="00CC5E44"/>
    <w:rsid w:val="00CC6C0B"/>
    <w:rsid w:val="00CC74E8"/>
    <w:rsid w:val="00CC787D"/>
    <w:rsid w:val="00CC7A80"/>
    <w:rsid w:val="00CD0A12"/>
    <w:rsid w:val="00CD176F"/>
    <w:rsid w:val="00CD52C3"/>
    <w:rsid w:val="00CD6923"/>
    <w:rsid w:val="00CD70A5"/>
    <w:rsid w:val="00CE3FE9"/>
    <w:rsid w:val="00CE4CC7"/>
    <w:rsid w:val="00CE4F32"/>
    <w:rsid w:val="00CE56F7"/>
    <w:rsid w:val="00CF0592"/>
    <w:rsid w:val="00CF17E1"/>
    <w:rsid w:val="00CF2ABA"/>
    <w:rsid w:val="00CF4E73"/>
    <w:rsid w:val="00CF6104"/>
    <w:rsid w:val="00CF68DA"/>
    <w:rsid w:val="00CF6F54"/>
    <w:rsid w:val="00D01DA9"/>
    <w:rsid w:val="00D02D30"/>
    <w:rsid w:val="00D077F2"/>
    <w:rsid w:val="00D1011D"/>
    <w:rsid w:val="00D13091"/>
    <w:rsid w:val="00D16C44"/>
    <w:rsid w:val="00D16C66"/>
    <w:rsid w:val="00D21527"/>
    <w:rsid w:val="00D34B98"/>
    <w:rsid w:val="00D36B33"/>
    <w:rsid w:val="00D460B0"/>
    <w:rsid w:val="00D46D28"/>
    <w:rsid w:val="00D47E62"/>
    <w:rsid w:val="00D55CD1"/>
    <w:rsid w:val="00D63FA8"/>
    <w:rsid w:val="00D65A33"/>
    <w:rsid w:val="00D7035B"/>
    <w:rsid w:val="00D70F49"/>
    <w:rsid w:val="00D76ADA"/>
    <w:rsid w:val="00D86C8E"/>
    <w:rsid w:val="00DA141B"/>
    <w:rsid w:val="00DA1FFB"/>
    <w:rsid w:val="00DB1A29"/>
    <w:rsid w:val="00DB1C9B"/>
    <w:rsid w:val="00DB6CE3"/>
    <w:rsid w:val="00DB7459"/>
    <w:rsid w:val="00DC2B00"/>
    <w:rsid w:val="00DC5DD5"/>
    <w:rsid w:val="00DD2385"/>
    <w:rsid w:val="00DE1F89"/>
    <w:rsid w:val="00DE326B"/>
    <w:rsid w:val="00DE6B99"/>
    <w:rsid w:val="00DF36BF"/>
    <w:rsid w:val="00DF5490"/>
    <w:rsid w:val="00E0180B"/>
    <w:rsid w:val="00E21D45"/>
    <w:rsid w:val="00E23A19"/>
    <w:rsid w:val="00E2421C"/>
    <w:rsid w:val="00E275AA"/>
    <w:rsid w:val="00E37A96"/>
    <w:rsid w:val="00E40BD3"/>
    <w:rsid w:val="00E4140B"/>
    <w:rsid w:val="00E41E31"/>
    <w:rsid w:val="00E43B30"/>
    <w:rsid w:val="00E46DF2"/>
    <w:rsid w:val="00E51576"/>
    <w:rsid w:val="00E520D4"/>
    <w:rsid w:val="00E5751B"/>
    <w:rsid w:val="00E62D43"/>
    <w:rsid w:val="00E666B1"/>
    <w:rsid w:val="00E6741F"/>
    <w:rsid w:val="00E67CAF"/>
    <w:rsid w:val="00E73CB9"/>
    <w:rsid w:val="00E74239"/>
    <w:rsid w:val="00E76B6F"/>
    <w:rsid w:val="00E778F5"/>
    <w:rsid w:val="00E81DC2"/>
    <w:rsid w:val="00E82003"/>
    <w:rsid w:val="00E83953"/>
    <w:rsid w:val="00E85259"/>
    <w:rsid w:val="00E85B3C"/>
    <w:rsid w:val="00E96E78"/>
    <w:rsid w:val="00EB0954"/>
    <w:rsid w:val="00EB0BFE"/>
    <w:rsid w:val="00EB313D"/>
    <w:rsid w:val="00EB71BD"/>
    <w:rsid w:val="00EC2FB2"/>
    <w:rsid w:val="00EC4B3F"/>
    <w:rsid w:val="00EC4EC3"/>
    <w:rsid w:val="00EC68D9"/>
    <w:rsid w:val="00EC7C46"/>
    <w:rsid w:val="00EC7E1B"/>
    <w:rsid w:val="00ED0E28"/>
    <w:rsid w:val="00ED0FE2"/>
    <w:rsid w:val="00ED6282"/>
    <w:rsid w:val="00ED6598"/>
    <w:rsid w:val="00EE06C5"/>
    <w:rsid w:val="00EE1032"/>
    <w:rsid w:val="00EE215A"/>
    <w:rsid w:val="00EE4044"/>
    <w:rsid w:val="00EE51C7"/>
    <w:rsid w:val="00EE6663"/>
    <w:rsid w:val="00EE703D"/>
    <w:rsid w:val="00F01C59"/>
    <w:rsid w:val="00F032AD"/>
    <w:rsid w:val="00F0617B"/>
    <w:rsid w:val="00F06BA3"/>
    <w:rsid w:val="00F101C6"/>
    <w:rsid w:val="00F10E99"/>
    <w:rsid w:val="00F10FFE"/>
    <w:rsid w:val="00F1205F"/>
    <w:rsid w:val="00F15842"/>
    <w:rsid w:val="00F17200"/>
    <w:rsid w:val="00F23AD8"/>
    <w:rsid w:val="00F366F3"/>
    <w:rsid w:val="00F508B1"/>
    <w:rsid w:val="00F5128D"/>
    <w:rsid w:val="00F53BC2"/>
    <w:rsid w:val="00F5626B"/>
    <w:rsid w:val="00F5631A"/>
    <w:rsid w:val="00F570A9"/>
    <w:rsid w:val="00F639DA"/>
    <w:rsid w:val="00F65160"/>
    <w:rsid w:val="00F72294"/>
    <w:rsid w:val="00F81167"/>
    <w:rsid w:val="00F814D9"/>
    <w:rsid w:val="00F83E14"/>
    <w:rsid w:val="00F852CD"/>
    <w:rsid w:val="00F859FD"/>
    <w:rsid w:val="00F869FC"/>
    <w:rsid w:val="00F87548"/>
    <w:rsid w:val="00F87D67"/>
    <w:rsid w:val="00F9042B"/>
    <w:rsid w:val="00F90C0A"/>
    <w:rsid w:val="00F94BA0"/>
    <w:rsid w:val="00F97A02"/>
    <w:rsid w:val="00FA1CCB"/>
    <w:rsid w:val="00FA38FC"/>
    <w:rsid w:val="00FB0890"/>
    <w:rsid w:val="00FB2BF0"/>
    <w:rsid w:val="00FB4E6A"/>
    <w:rsid w:val="00FC1837"/>
    <w:rsid w:val="00FC2762"/>
    <w:rsid w:val="00FC5788"/>
    <w:rsid w:val="00FC71EC"/>
    <w:rsid w:val="00FC7DE1"/>
    <w:rsid w:val="00FD125E"/>
    <w:rsid w:val="00FD2D7C"/>
    <w:rsid w:val="00FE1B0E"/>
    <w:rsid w:val="00FE2001"/>
    <w:rsid w:val="00FE36D1"/>
    <w:rsid w:val="00FF1813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3C2358E7"/>
  <w15:chartTrackingRefBased/>
  <w15:docId w15:val="{93A1B0A9-6CDB-4409-8388-492FCF7D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55EAB"/>
    <w:rPr>
      <w:b/>
      <w:bCs/>
      <w:strike w:val="0"/>
      <w:dstrike w:val="0"/>
      <w:color w:val="FFCC33"/>
      <w:u w:val="none"/>
      <w:effect w:val="none"/>
    </w:rPr>
  </w:style>
  <w:style w:type="paragraph" w:styleId="Kopfzeile">
    <w:name w:val="header"/>
    <w:basedOn w:val="Standard"/>
    <w:rsid w:val="00BA196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A196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C7012"/>
  </w:style>
  <w:style w:type="paragraph" w:styleId="Sprechblasentext">
    <w:name w:val="Balloon Text"/>
    <w:basedOn w:val="Standard"/>
    <w:semiHidden/>
    <w:rsid w:val="000915AE"/>
    <w:rPr>
      <w:rFonts w:ascii="Tahoma" w:hAnsi="Tahoma" w:cs="Tahoma"/>
      <w:sz w:val="16"/>
      <w:szCs w:val="16"/>
    </w:rPr>
  </w:style>
  <w:style w:type="paragraph" w:customStyle="1" w:styleId="KopfDienststelle">
    <w:name w:val="Kopf_Dienststelle"/>
    <w:basedOn w:val="Standard"/>
    <w:rsid w:val="00AC72C8"/>
    <w:pPr>
      <w:tabs>
        <w:tab w:val="left" w:pos="510"/>
        <w:tab w:val="left" w:pos="851"/>
        <w:tab w:val="left" w:pos="1191"/>
        <w:tab w:val="left" w:pos="7142"/>
        <w:tab w:val="right" w:pos="9072"/>
      </w:tabs>
      <w:spacing w:before="210" w:line="280" w:lineRule="atLeast"/>
    </w:pPr>
    <w:rPr>
      <w:rFonts w:ascii="Arial" w:hAnsi="Arial"/>
      <w:noProof/>
      <w:color w:val="808080"/>
      <w:spacing w:val="10"/>
      <w:sz w:val="28"/>
      <w:szCs w:val="20"/>
      <w:lang w:eastAsia="de-DE"/>
    </w:rPr>
  </w:style>
  <w:style w:type="character" w:customStyle="1" w:styleId="FuzeileZchn">
    <w:name w:val="Fußzeile Zchn"/>
    <w:link w:val="Fuzeile"/>
    <w:uiPriority w:val="99"/>
    <w:rsid w:val="009F43B9"/>
    <w:rPr>
      <w:sz w:val="24"/>
      <w:szCs w:val="24"/>
    </w:rPr>
  </w:style>
  <w:style w:type="paragraph" w:customStyle="1" w:styleId="CDFuzeileS1">
    <w:name w:val="CD_Fußzeile_S1"/>
    <w:qFormat/>
    <w:rsid w:val="009F43B9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873F77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oter1.xml" Type="http://schemas.openxmlformats.org/officeDocument/2006/relationships/footer"/><Relationship Id="rId11" Target="header2.xml" Type="http://schemas.openxmlformats.org/officeDocument/2006/relationships/head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ttp://www.projektmagazin.de/glossar/gl-0869.html?pmSession=" TargetMode="External" Type="http://schemas.openxmlformats.org/officeDocument/2006/relationships/hyperlink"/><Relationship Id="rId7" Target="media/image1.emf" Type="http://schemas.openxmlformats.org/officeDocument/2006/relationships/image"/><Relationship Id="rId8" Target="embeddings/Microsoft_Excel_97-2003-Arbeitsblatt.xls" Type="http://schemas.openxmlformats.org/officeDocument/2006/relationships/oleObject"/><Relationship Id="rId9" Target="header1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2.wmf" Type="http://schemas.openxmlformats.org/officeDocument/2006/relationships/imag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Ausfüllhilfe</vt:lpstr>
    </vt:vector>
  </TitlesOfParts>
  <Company>Amt der Oberösterreichischen Landesregierung</Company>
  <LinksUpToDate>false</LinksUpToDate>
  <CharactersWithSpaces>9628</CharactersWithSpaces>
  <SharedDoc>false</SharedDoc>
  <HLinks>
    <vt:vector size="6" baseType="variant">
      <vt:variant>
        <vt:i4>5636108</vt:i4>
      </vt:variant>
      <vt:variant>
        <vt:i4>0</vt:i4>
      </vt:variant>
      <vt:variant>
        <vt:i4>0</vt:i4>
      </vt:variant>
      <vt:variant>
        <vt:i4>5</vt:i4>
      </vt:variant>
      <vt:variant>
        <vt:lpwstr>http://www.projektmagazin.de/glossar/gl-0869.html?pmSession=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2022-05-30T11:08:00Z</dcterms:created>
  <dc:creator>www.linz.at / Service A-Z</dc:creator>
  <cp:lastModifiedBy>Magistrat Linz</cp:lastModifiedBy>
  <cp:lastPrinted>2009-06-08T09:57:00Z</cp:lastPrinted>
  <dcterms:modified xsi:type="dcterms:W3CDTF">2022-07-08T08:51:41Z</dcterms:modified>
  <cp:revision>5</cp:revision>
  <dc:title>Ausfüllhilfe für Finanzpläne</dc:title>
</cp:coreProperties>
</file>