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D6EA" w14:textId="77777777" w:rsidR="006F74FC" w:rsidRDefault="006F74FC" w:rsidP="006F74FC">
      <w:pPr>
        <w:pStyle w:val="KopfLeerraum"/>
        <w:spacing w:after="240"/>
      </w:pPr>
    </w:p>
    <w:p w14:paraId="2C8EC0C0"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3B415F2" w14:textId="77777777" w:rsidR="004B47A2" w:rsidRPr="00600203" w:rsidRDefault="00CB3E24" w:rsidP="004B47A2">
      <w:pPr>
        <w:spacing w:after="360"/>
      </w:pPr>
      <w:r>
        <w:rPr>
          <w:b/>
          <w:sz w:val="28"/>
          <w:szCs w:val="28"/>
          <w:lang w:val="de-DE"/>
        </w:rPr>
        <w:t>Betriebliche Mobilitätsberatung</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4B47A2">
        <w:rPr>
          <w:rFonts w:cs="Arial"/>
          <w:sz w:val="18"/>
          <w:szCs w:val="18"/>
        </w:rPr>
        <w:br/>
        <w:t>(Förderantrag – Stand: April 2022)</w:t>
      </w:r>
    </w:p>
    <w:p w14:paraId="45244760"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1BD30086"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728A46B5"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08C7D592"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7559010D"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08014A2A"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DC778AD"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86D667B" w14:textId="3F41634A" w:rsidR="006F74FC" w:rsidRPr="00986FD5" w:rsidRDefault="006F3C52" w:rsidP="00773B04">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61223F">
              <w:rPr>
                <w:rFonts w:cs="Arial"/>
                <w:sz w:val="20"/>
              </w:rPr>
            </w:r>
            <w:r w:rsidR="0061223F">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61223F">
              <w:rPr>
                <w:rFonts w:cs="Arial"/>
                <w:sz w:val="20"/>
              </w:rPr>
            </w:r>
            <w:r w:rsidR="0061223F">
              <w:rPr>
                <w:rFonts w:cs="Arial"/>
                <w:sz w:val="20"/>
              </w:rPr>
              <w:fldChar w:fldCharType="separate"/>
            </w:r>
            <w:r>
              <w:rPr>
                <w:rFonts w:cs="Arial"/>
                <w:sz w:val="20"/>
              </w:rPr>
              <w:fldChar w:fldCharType="end"/>
            </w:r>
          </w:p>
        </w:tc>
      </w:tr>
      <w:tr w:rsidR="006F74FC" w:rsidRPr="00986FD5" w14:paraId="020EEAC4" w14:textId="77777777" w:rsidTr="0083144A">
        <w:trPr>
          <w:cantSplit/>
          <w:trHeight w:val="378"/>
        </w:trPr>
        <w:tc>
          <w:tcPr>
            <w:tcW w:w="4820" w:type="dxa"/>
            <w:tcBorders>
              <w:left w:val="single" w:sz="4" w:space="0" w:color="000000"/>
            </w:tcBorders>
            <w:shd w:val="clear" w:color="auto" w:fill="FFFFFF"/>
            <w:vAlign w:val="center"/>
          </w:tcPr>
          <w:p w14:paraId="3486D9B1"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345A2A20"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717F98D9"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11510C37"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6D4E577F"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61223F">
              <w:rPr>
                <w:rFonts w:cs="Arial"/>
                <w:sz w:val="20"/>
              </w:rPr>
            </w:r>
            <w:r w:rsidR="0061223F">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61223F">
              <w:rPr>
                <w:rFonts w:cs="Arial"/>
                <w:sz w:val="20"/>
              </w:rPr>
            </w:r>
            <w:r w:rsidR="0061223F">
              <w:rPr>
                <w:rFonts w:cs="Arial"/>
                <w:sz w:val="20"/>
              </w:rPr>
              <w:fldChar w:fldCharType="separate"/>
            </w:r>
            <w:r w:rsidRPr="00986FD5">
              <w:rPr>
                <w:rFonts w:cs="Arial"/>
                <w:sz w:val="20"/>
              </w:rPr>
              <w:fldChar w:fldCharType="end"/>
            </w:r>
          </w:p>
        </w:tc>
      </w:tr>
      <w:tr w:rsidR="006F74FC" w:rsidRPr="00986FD5" w14:paraId="710CFE6F"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717A475"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A89D1AD"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64D17EC6"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343D9C4F"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3AA260F6"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026E842E"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78C9774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3F95643"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1F6F1B23"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0470DC8B"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63F16370"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1E470401"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3E80A3B8"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68159020"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423EC643"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5714ED1"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6E9611A"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D48CB6F"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67E31453" w14:textId="77777777" w:rsidTr="0083144A">
        <w:trPr>
          <w:trHeight w:val="378"/>
        </w:trPr>
        <w:tc>
          <w:tcPr>
            <w:tcW w:w="3261" w:type="dxa"/>
            <w:tcBorders>
              <w:top w:val="single" w:sz="4" w:space="0" w:color="000000"/>
              <w:left w:val="single" w:sz="4" w:space="0" w:color="000000"/>
            </w:tcBorders>
            <w:shd w:val="clear" w:color="auto" w:fill="FFFFFF"/>
            <w:vAlign w:val="center"/>
          </w:tcPr>
          <w:p w14:paraId="6CB14C05"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8BE4ED4"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2A9BB10A" w14:textId="77777777" w:rsidTr="0083144A">
        <w:trPr>
          <w:trHeight w:val="378"/>
        </w:trPr>
        <w:tc>
          <w:tcPr>
            <w:tcW w:w="3261" w:type="dxa"/>
            <w:tcBorders>
              <w:left w:val="single" w:sz="4" w:space="0" w:color="000000"/>
            </w:tcBorders>
            <w:shd w:val="clear" w:color="auto" w:fill="FFFFFF"/>
            <w:vAlign w:val="center"/>
          </w:tcPr>
          <w:p w14:paraId="0D8F90EB"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57B735E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05E93C76"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31E3A978"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5FC12281"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0F558C14"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8"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5FEB8D3E"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3C6BE5F6" w14:textId="77777777" w:rsidTr="00695C36">
        <w:trPr>
          <w:trHeight w:hRule="exact" w:val="854"/>
        </w:trPr>
        <w:tc>
          <w:tcPr>
            <w:tcW w:w="2290" w:type="dxa"/>
            <w:vMerge w:val="restart"/>
            <w:vAlign w:val="center"/>
          </w:tcPr>
          <w:p w14:paraId="6A966348"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266BA03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09EF3142"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38417670"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426968C6"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60E555B6"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59160287"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0832C194" w14:textId="77777777" w:rsidTr="00695C36">
        <w:trPr>
          <w:trHeight w:val="420"/>
        </w:trPr>
        <w:tc>
          <w:tcPr>
            <w:tcW w:w="2290" w:type="dxa"/>
            <w:vMerge/>
            <w:vAlign w:val="center"/>
          </w:tcPr>
          <w:p w14:paraId="1261DDF2" w14:textId="77777777" w:rsidR="00F62DDA" w:rsidRPr="006E68A8" w:rsidRDefault="00F62DDA" w:rsidP="00F62DDA">
            <w:pPr>
              <w:jc w:val="center"/>
              <w:rPr>
                <w:rFonts w:cs="Arial"/>
                <w:sz w:val="16"/>
                <w:szCs w:val="16"/>
              </w:rPr>
            </w:pPr>
          </w:p>
        </w:tc>
        <w:tc>
          <w:tcPr>
            <w:tcW w:w="1486" w:type="dxa"/>
            <w:vMerge/>
            <w:vAlign w:val="center"/>
          </w:tcPr>
          <w:p w14:paraId="4F8C3CA5" w14:textId="77777777" w:rsidR="00F62DDA" w:rsidRPr="006E68A8" w:rsidRDefault="00F62DDA" w:rsidP="00F62DDA">
            <w:pPr>
              <w:jc w:val="center"/>
              <w:rPr>
                <w:rFonts w:cs="Arial"/>
                <w:sz w:val="16"/>
                <w:szCs w:val="16"/>
              </w:rPr>
            </w:pPr>
          </w:p>
        </w:tc>
        <w:tc>
          <w:tcPr>
            <w:tcW w:w="1086" w:type="dxa"/>
            <w:vMerge/>
            <w:vAlign w:val="center"/>
          </w:tcPr>
          <w:p w14:paraId="51FF5477" w14:textId="77777777" w:rsidR="00F62DDA" w:rsidRPr="006E68A8" w:rsidRDefault="00F62DDA" w:rsidP="00F62DDA">
            <w:pPr>
              <w:jc w:val="center"/>
              <w:rPr>
                <w:rFonts w:cs="Arial"/>
                <w:sz w:val="16"/>
                <w:szCs w:val="16"/>
              </w:rPr>
            </w:pPr>
          </w:p>
        </w:tc>
        <w:tc>
          <w:tcPr>
            <w:tcW w:w="803" w:type="dxa"/>
            <w:vAlign w:val="center"/>
          </w:tcPr>
          <w:p w14:paraId="4B5840DB"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13BCF36B"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52D30BE3"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057BF044" w14:textId="77777777" w:rsidR="00F62DDA" w:rsidRPr="006E68A8" w:rsidRDefault="00F62DDA" w:rsidP="00F62DDA">
            <w:pPr>
              <w:jc w:val="center"/>
              <w:rPr>
                <w:rFonts w:cs="Arial"/>
                <w:sz w:val="16"/>
                <w:szCs w:val="16"/>
              </w:rPr>
            </w:pPr>
          </w:p>
        </w:tc>
        <w:tc>
          <w:tcPr>
            <w:tcW w:w="551" w:type="dxa"/>
            <w:vAlign w:val="center"/>
          </w:tcPr>
          <w:p w14:paraId="7EBD0A49"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35408B74"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4C9CD553" w14:textId="77777777" w:rsidTr="00695C36">
        <w:trPr>
          <w:trHeight w:val="342"/>
        </w:trPr>
        <w:tc>
          <w:tcPr>
            <w:tcW w:w="2290" w:type="dxa"/>
            <w:vAlign w:val="center"/>
          </w:tcPr>
          <w:p w14:paraId="1E38F57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A2E115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45B8C5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723FB1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bookmarkEnd w:id="1"/>
          </w:p>
        </w:tc>
        <w:tc>
          <w:tcPr>
            <w:tcW w:w="851" w:type="dxa"/>
            <w:vAlign w:val="center"/>
          </w:tcPr>
          <w:p w14:paraId="6A64632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1069" w:type="dxa"/>
            <w:vAlign w:val="center"/>
          </w:tcPr>
          <w:p w14:paraId="283C485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BB06A3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29E8227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551" w:type="dxa"/>
            <w:vAlign w:val="center"/>
          </w:tcPr>
          <w:p w14:paraId="497FF31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r>
      <w:tr w:rsidR="00F62DDA" w:rsidRPr="006E68A8" w14:paraId="41D05DB0" w14:textId="77777777" w:rsidTr="00695C36">
        <w:trPr>
          <w:trHeight w:val="342"/>
        </w:trPr>
        <w:tc>
          <w:tcPr>
            <w:tcW w:w="2290" w:type="dxa"/>
            <w:vAlign w:val="center"/>
          </w:tcPr>
          <w:p w14:paraId="37B0BE8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128AE23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751449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65EC77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851" w:type="dxa"/>
            <w:vAlign w:val="center"/>
          </w:tcPr>
          <w:p w14:paraId="1D17AD7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1069" w:type="dxa"/>
            <w:vAlign w:val="center"/>
          </w:tcPr>
          <w:p w14:paraId="3065E09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F666D4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77A33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551" w:type="dxa"/>
            <w:vAlign w:val="center"/>
          </w:tcPr>
          <w:p w14:paraId="1611BEC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r>
      <w:tr w:rsidR="00F62DDA" w:rsidRPr="006E68A8" w14:paraId="77DB8E98" w14:textId="77777777" w:rsidTr="00695C36">
        <w:trPr>
          <w:trHeight w:val="342"/>
        </w:trPr>
        <w:tc>
          <w:tcPr>
            <w:tcW w:w="2290" w:type="dxa"/>
            <w:vAlign w:val="center"/>
          </w:tcPr>
          <w:p w14:paraId="71A705C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2F9558C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F7C31E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A93095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851" w:type="dxa"/>
            <w:vAlign w:val="center"/>
          </w:tcPr>
          <w:p w14:paraId="65DA1EB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1069" w:type="dxa"/>
            <w:vAlign w:val="center"/>
          </w:tcPr>
          <w:p w14:paraId="7BD8BFE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546B29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443E5B8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551" w:type="dxa"/>
            <w:vAlign w:val="center"/>
          </w:tcPr>
          <w:p w14:paraId="274AB3A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r>
      <w:tr w:rsidR="00F62DDA" w:rsidRPr="006E68A8" w14:paraId="21CF792B" w14:textId="77777777" w:rsidTr="00695C36">
        <w:trPr>
          <w:trHeight w:val="342"/>
        </w:trPr>
        <w:tc>
          <w:tcPr>
            <w:tcW w:w="2290" w:type="dxa"/>
            <w:vAlign w:val="center"/>
          </w:tcPr>
          <w:p w14:paraId="3CFA578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AFBB41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539F54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B84AED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851" w:type="dxa"/>
            <w:vAlign w:val="center"/>
          </w:tcPr>
          <w:p w14:paraId="1C34517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1069" w:type="dxa"/>
            <w:vAlign w:val="center"/>
          </w:tcPr>
          <w:p w14:paraId="1E25F02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07B3BF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2B97D1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551" w:type="dxa"/>
            <w:vAlign w:val="center"/>
          </w:tcPr>
          <w:p w14:paraId="2100412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r>
      <w:tr w:rsidR="00F62DDA" w:rsidRPr="006E68A8" w14:paraId="47668714" w14:textId="77777777" w:rsidTr="00695C36">
        <w:trPr>
          <w:trHeight w:val="342"/>
        </w:trPr>
        <w:tc>
          <w:tcPr>
            <w:tcW w:w="2290" w:type="dxa"/>
            <w:vAlign w:val="center"/>
          </w:tcPr>
          <w:p w14:paraId="2F68198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47A703C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D49306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BD1C47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851" w:type="dxa"/>
            <w:vAlign w:val="center"/>
          </w:tcPr>
          <w:p w14:paraId="296AF12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1069" w:type="dxa"/>
            <w:vAlign w:val="center"/>
          </w:tcPr>
          <w:p w14:paraId="06B262E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488E37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128AA11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c>
          <w:tcPr>
            <w:tcW w:w="551" w:type="dxa"/>
            <w:vAlign w:val="center"/>
          </w:tcPr>
          <w:p w14:paraId="6B5217C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1223F">
              <w:rPr>
                <w:rFonts w:cs="Arial"/>
                <w:sz w:val="18"/>
                <w:szCs w:val="18"/>
              </w:rPr>
            </w:r>
            <w:r w:rsidR="0061223F">
              <w:rPr>
                <w:rFonts w:cs="Arial"/>
                <w:sz w:val="18"/>
                <w:szCs w:val="18"/>
              </w:rPr>
              <w:fldChar w:fldCharType="separate"/>
            </w:r>
            <w:r w:rsidRPr="006E68A8">
              <w:rPr>
                <w:rFonts w:cs="Arial"/>
                <w:sz w:val="18"/>
                <w:szCs w:val="18"/>
              </w:rPr>
              <w:fldChar w:fldCharType="end"/>
            </w:r>
          </w:p>
        </w:tc>
      </w:tr>
    </w:tbl>
    <w:p w14:paraId="4358F231"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4650192B"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09E25885"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621B5BEB" w14:textId="77777777" w:rsidTr="0083144A">
        <w:trPr>
          <w:trHeight w:val="415"/>
        </w:trPr>
        <w:tc>
          <w:tcPr>
            <w:tcW w:w="1128" w:type="dxa"/>
            <w:tcBorders>
              <w:top w:val="nil"/>
              <w:left w:val="nil"/>
            </w:tcBorders>
          </w:tcPr>
          <w:p w14:paraId="4B6AAE3F" w14:textId="77777777" w:rsidR="006F74FC" w:rsidRPr="006E68A8" w:rsidRDefault="006F74FC" w:rsidP="0083144A">
            <w:pPr>
              <w:rPr>
                <w:rFonts w:cs="Arial"/>
                <w:sz w:val="18"/>
                <w:szCs w:val="18"/>
              </w:rPr>
            </w:pPr>
          </w:p>
        </w:tc>
        <w:tc>
          <w:tcPr>
            <w:tcW w:w="502" w:type="dxa"/>
            <w:vAlign w:val="center"/>
          </w:tcPr>
          <w:p w14:paraId="56AB8F1C"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0E9E186A"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635BD810" w14:textId="77777777" w:rsidTr="0083144A">
        <w:trPr>
          <w:trHeight w:val="389"/>
        </w:trPr>
        <w:tc>
          <w:tcPr>
            <w:tcW w:w="1128" w:type="dxa"/>
            <w:vAlign w:val="center"/>
          </w:tcPr>
          <w:p w14:paraId="4EA2362A"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4004C366"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1223F">
              <w:rPr>
                <w:rFonts w:cs="Arial"/>
                <w:sz w:val="20"/>
                <w:szCs w:val="22"/>
              </w:rPr>
            </w:r>
            <w:r w:rsidR="0061223F">
              <w:rPr>
                <w:rFonts w:cs="Arial"/>
                <w:sz w:val="20"/>
                <w:szCs w:val="22"/>
              </w:rPr>
              <w:fldChar w:fldCharType="separate"/>
            </w:r>
            <w:r w:rsidRPr="00DB22C5">
              <w:rPr>
                <w:rFonts w:cs="Arial"/>
                <w:sz w:val="20"/>
                <w:szCs w:val="22"/>
              </w:rPr>
              <w:fldChar w:fldCharType="end"/>
            </w:r>
          </w:p>
        </w:tc>
        <w:tc>
          <w:tcPr>
            <w:tcW w:w="8009" w:type="dxa"/>
            <w:vAlign w:val="center"/>
          </w:tcPr>
          <w:p w14:paraId="11C8E73D" w14:textId="6434A814" w:rsidR="006F74FC" w:rsidRPr="00DB22C5" w:rsidRDefault="006F74FC" w:rsidP="0083144A">
            <w:pPr>
              <w:rPr>
                <w:rFonts w:cs="Arial"/>
                <w:sz w:val="20"/>
                <w:szCs w:val="22"/>
                <w:lang w:eastAsia="de-AT"/>
              </w:rPr>
            </w:pPr>
            <w:r w:rsidRPr="00E32CD4">
              <w:rPr>
                <w:rFonts w:cs="Arial"/>
                <w:sz w:val="20"/>
                <w:szCs w:val="22"/>
                <w:lang w:eastAsia="de-AT"/>
              </w:rPr>
              <w:t xml:space="preserve">Rechnung </w:t>
            </w:r>
            <w:r w:rsidR="006B5FBF">
              <w:rPr>
                <w:rFonts w:cs="Arial"/>
                <w:sz w:val="20"/>
                <w:szCs w:val="22"/>
                <w:lang w:eastAsia="de-AT"/>
              </w:rPr>
              <w:t>für Mobilitätsberatung durch externe Berater/innen im Rahmen der Betrieblichen Umweltoffensive des Landes</w:t>
            </w:r>
            <w:r>
              <w:rPr>
                <w:rFonts w:cs="Arial"/>
                <w:sz w:val="20"/>
                <w:szCs w:val="22"/>
                <w:lang w:eastAsia="de-AT"/>
              </w:rPr>
              <w:t>(nicht älter als 1 Jahr)</w:t>
            </w:r>
          </w:p>
        </w:tc>
      </w:tr>
      <w:tr w:rsidR="006F74FC" w:rsidRPr="006E68A8" w14:paraId="7F1E664D" w14:textId="77777777" w:rsidTr="0083144A">
        <w:trPr>
          <w:trHeight w:val="389"/>
        </w:trPr>
        <w:tc>
          <w:tcPr>
            <w:tcW w:w="1128" w:type="dxa"/>
            <w:vAlign w:val="center"/>
          </w:tcPr>
          <w:p w14:paraId="557CD3E6"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30DA0296"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1223F">
              <w:rPr>
                <w:rFonts w:cs="Arial"/>
                <w:sz w:val="20"/>
                <w:szCs w:val="22"/>
              </w:rPr>
            </w:r>
            <w:r w:rsidR="0061223F">
              <w:rPr>
                <w:rFonts w:cs="Arial"/>
                <w:sz w:val="20"/>
                <w:szCs w:val="22"/>
              </w:rPr>
              <w:fldChar w:fldCharType="separate"/>
            </w:r>
            <w:r w:rsidRPr="00DB22C5">
              <w:rPr>
                <w:rFonts w:cs="Arial"/>
                <w:sz w:val="20"/>
                <w:szCs w:val="22"/>
              </w:rPr>
              <w:fldChar w:fldCharType="end"/>
            </w:r>
          </w:p>
        </w:tc>
        <w:tc>
          <w:tcPr>
            <w:tcW w:w="8009" w:type="dxa"/>
            <w:vAlign w:val="center"/>
          </w:tcPr>
          <w:p w14:paraId="36A1FAC7"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5F7BCCFE" w14:textId="77777777" w:rsidTr="0083144A">
        <w:trPr>
          <w:cantSplit/>
          <w:trHeight w:val="408"/>
        </w:trPr>
        <w:tc>
          <w:tcPr>
            <w:tcW w:w="2622" w:type="dxa"/>
            <w:tcBorders>
              <w:bottom w:val="single" w:sz="8" w:space="0" w:color="000000"/>
            </w:tcBorders>
            <w:shd w:val="clear" w:color="auto" w:fill="FFFFFF"/>
            <w:vAlign w:val="center"/>
          </w:tcPr>
          <w:p w14:paraId="278AC213" w14:textId="77777777" w:rsidR="006F74FC" w:rsidRPr="006E68A8" w:rsidRDefault="006F74FC" w:rsidP="006B5FBF">
            <w:pPr>
              <w:snapToGrid w:val="0"/>
              <w:spacing w:before="108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1440CC0" w14:textId="77777777" w:rsidR="006F74FC" w:rsidRPr="006E68A8" w:rsidRDefault="006F74FC" w:rsidP="006B5FBF">
            <w:pPr>
              <w:snapToGrid w:val="0"/>
              <w:spacing w:before="108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AA9DDEA" w14:textId="77777777" w:rsidR="006F74FC" w:rsidRPr="006E68A8" w:rsidRDefault="006F74FC" w:rsidP="006B5FBF">
            <w:pPr>
              <w:snapToGrid w:val="0"/>
              <w:spacing w:before="108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61B354BD" w14:textId="77777777" w:rsidR="006F74FC" w:rsidRPr="006E68A8" w:rsidRDefault="006F74FC" w:rsidP="006B5FBF">
            <w:pPr>
              <w:snapToGrid w:val="0"/>
              <w:spacing w:before="1080"/>
              <w:rPr>
                <w:rFonts w:cs="Arial"/>
                <w:sz w:val="18"/>
                <w:szCs w:val="18"/>
              </w:rPr>
            </w:pPr>
          </w:p>
        </w:tc>
        <w:tc>
          <w:tcPr>
            <w:tcW w:w="4607" w:type="dxa"/>
            <w:tcBorders>
              <w:bottom w:val="single" w:sz="8" w:space="0" w:color="000000"/>
            </w:tcBorders>
            <w:shd w:val="clear" w:color="auto" w:fill="FFFFFF"/>
            <w:vAlign w:val="center"/>
          </w:tcPr>
          <w:p w14:paraId="37C6C4E1" w14:textId="77777777" w:rsidR="006F74FC" w:rsidRPr="006E68A8" w:rsidRDefault="006F74FC" w:rsidP="006B5FBF">
            <w:pPr>
              <w:snapToGrid w:val="0"/>
              <w:spacing w:before="1080"/>
              <w:rPr>
                <w:rFonts w:cs="Arial"/>
                <w:sz w:val="18"/>
                <w:szCs w:val="18"/>
              </w:rPr>
            </w:pPr>
          </w:p>
        </w:tc>
      </w:tr>
      <w:tr w:rsidR="006F74FC" w:rsidRPr="006E68A8" w14:paraId="3E61A2BB" w14:textId="77777777" w:rsidTr="0083144A">
        <w:trPr>
          <w:cantSplit/>
          <w:trHeight w:val="363"/>
        </w:trPr>
        <w:tc>
          <w:tcPr>
            <w:tcW w:w="2622" w:type="dxa"/>
            <w:tcBorders>
              <w:top w:val="single" w:sz="8" w:space="0" w:color="000000"/>
            </w:tcBorders>
            <w:shd w:val="clear" w:color="auto" w:fill="FFFFFF"/>
            <w:tcMar>
              <w:top w:w="57" w:type="dxa"/>
            </w:tcMar>
            <w:vAlign w:val="center"/>
          </w:tcPr>
          <w:p w14:paraId="2B7423A3"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2187E541"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7572BB90"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4D92720E"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062E6EE9"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42ACC1B7"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789064E4"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567B6FBE"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87AC209"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7872B05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62E37748"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4B63ED3B"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9" w:history="1">
        <w:r w:rsidRPr="006E68A8">
          <w:rPr>
            <w:rStyle w:val="Hyperlink"/>
            <w:rFonts w:cs="Arial"/>
            <w:szCs w:val="22"/>
            <w:lang w:eastAsia="de-AT"/>
          </w:rPr>
          <w:t>datenschutz@mag.linz.at</w:t>
        </w:r>
      </w:hyperlink>
    </w:p>
    <w:p w14:paraId="25912190" w14:textId="77777777" w:rsidR="006B5FBF" w:rsidRPr="00B44B59" w:rsidRDefault="006B5FBF" w:rsidP="006B5FBF">
      <w:pPr>
        <w:tabs>
          <w:tab w:val="left" w:pos="4536"/>
        </w:tabs>
        <w:rPr>
          <w:rFonts w:cs="Arial"/>
          <w:b/>
          <w:bCs/>
        </w:rPr>
      </w:pPr>
      <w:r w:rsidRPr="00B44B59">
        <w:rPr>
          <w:rFonts w:cs="Arial"/>
          <w:b/>
          <w:bCs/>
        </w:rPr>
        <w:t>Kostenaufstellung:</w:t>
      </w:r>
    </w:p>
    <w:p w14:paraId="4BC15173" w14:textId="77777777" w:rsidR="006B5FBF" w:rsidRPr="00B44B59" w:rsidRDefault="006B5FBF" w:rsidP="006B5FBF">
      <w:pPr>
        <w:spacing w:line="240" w:lineRule="auto"/>
        <w:rPr>
          <w:rFonts w:cs="Arial"/>
          <w:sz w:val="10"/>
          <w:szCs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4"/>
        <w:gridCol w:w="5745"/>
      </w:tblGrid>
      <w:tr w:rsidR="006B5FBF" w:rsidRPr="00B44B59" w14:paraId="269055D1" w14:textId="77777777" w:rsidTr="006B5FBF">
        <w:trPr>
          <w:cantSplit/>
          <w:trHeight w:val="572"/>
        </w:trPr>
        <w:tc>
          <w:tcPr>
            <w:tcW w:w="3780" w:type="dxa"/>
            <w:vAlign w:val="center"/>
          </w:tcPr>
          <w:p w14:paraId="525E9533" w14:textId="77777777" w:rsidR="006B5FBF" w:rsidRPr="00B44B59" w:rsidRDefault="006B5FBF" w:rsidP="00246189">
            <w:pPr>
              <w:snapToGrid w:val="0"/>
              <w:jc w:val="right"/>
              <w:rPr>
                <w:rFonts w:cs="Arial"/>
                <w:sz w:val="20"/>
              </w:rPr>
            </w:pPr>
            <w:r w:rsidRPr="00B44B59">
              <w:rPr>
                <w:rFonts w:cs="Arial"/>
                <w:sz w:val="20"/>
              </w:rPr>
              <w:t>Mobilitätsberatung durchgeführt von:</w:t>
            </w:r>
          </w:p>
        </w:tc>
        <w:tc>
          <w:tcPr>
            <w:tcW w:w="5576" w:type="dxa"/>
            <w:vAlign w:val="center"/>
          </w:tcPr>
          <w:p w14:paraId="118E9900" w14:textId="77777777" w:rsidR="006B5FBF" w:rsidRPr="00B44B59" w:rsidRDefault="006B5FBF" w:rsidP="00246189">
            <w:pPr>
              <w:tabs>
                <w:tab w:val="left" w:pos="187"/>
              </w:tabs>
              <w:snapToGrid w:val="0"/>
              <w:spacing w:line="240" w:lineRule="auto"/>
              <w:rPr>
                <w:rFonts w:cs="Arial"/>
                <w:sz w:val="20"/>
              </w:rPr>
            </w:pPr>
            <w:r w:rsidRPr="00B44B59">
              <w:rPr>
                <w:rFonts w:cs="Arial"/>
                <w:sz w:val="20"/>
              </w:rPr>
              <w:tab/>
            </w:r>
            <w:r w:rsidRPr="00B44B59">
              <w:rPr>
                <w:rFonts w:cs="Arial"/>
                <w:sz w:val="20"/>
              </w:rPr>
              <w:fldChar w:fldCharType="begin">
                <w:ffData>
                  <w:name w:val="Text20"/>
                  <w:enabled/>
                  <w:calcOnExit w:val="0"/>
                  <w:textInput/>
                </w:ffData>
              </w:fldChar>
            </w:r>
            <w:r w:rsidRPr="00B44B59">
              <w:rPr>
                <w:rFonts w:cs="Arial"/>
                <w:sz w:val="20"/>
              </w:rPr>
              <w:instrText xml:space="preserve"> FORMTEXT </w:instrText>
            </w:r>
            <w:r w:rsidRPr="00B44B59">
              <w:rPr>
                <w:rFonts w:cs="Arial"/>
                <w:sz w:val="20"/>
              </w:rPr>
            </w:r>
            <w:r w:rsidRPr="00B44B59">
              <w:rPr>
                <w:rFonts w:cs="Arial"/>
                <w:sz w:val="20"/>
              </w:rPr>
              <w:fldChar w:fldCharType="separate"/>
            </w:r>
            <w:r w:rsidRPr="00B44B59">
              <w:rPr>
                <w:rFonts w:cs="Arial"/>
                <w:noProof/>
                <w:sz w:val="20"/>
              </w:rPr>
              <w:t> </w:t>
            </w:r>
            <w:r w:rsidRPr="00B44B59">
              <w:rPr>
                <w:rFonts w:cs="Arial"/>
                <w:noProof/>
                <w:sz w:val="20"/>
              </w:rPr>
              <w:t> </w:t>
            </w:r>
            <w:r w:rsidRPr="00B44B59">
              <w:rPr>
                <w:rFonts w:cs="Arial"/>
                <w:noProof/>
                <w:sz w:val="20"/>
              </w:rPr>
              <w:t> </w:t>
            </w:r>
            <w:r w:rsidRPr="00B44B59">
              <w:rPr>
                <w:rFonts w:cs="Arial"/>
                <w:noProof/>
                <w:sz w:val="20"/>
              </w:rPr>
              <w:t> </w:t>
            </w:r>
            <w:r w:rsidRPr="00B44B59">
              <w:rPr>
                <w:rFonts w:cs="Arial"/>
                <w:noProof/>
                <w:sz w:val="20"/>
              </w:rPr>
              <w:t> </w:t>
            </w:r>
            <w:r w:rsidRPr="00B44B59">
              <w:rPr>
                <w:rFonts w:cs="Arial"/>
                <w:sz w:val="20"/>
              </w:rPr>
              <w:fldChar w:fldCharType="end"/>
            </w:r>
          </w:p>
        </w:tc>
      </w:tr>
      <w:tr w:rsidR="006B5FBF" w:rsidRPr="00B44B59" w14:paraId="0F3BBA14" w14:textId="77777777" w:rsidTr="006B5FBF">
        <w:trPr>
          <w:cantSplit/>
          <w:trHeight w:val="572"/>
        </w:trPr>
        <w:tc>
          <w:tcPr>
            <w:tcW w:w="3780" w:type="dxa"/>
            <w:vAlign w:val="center"/>
          </w:tcPr>
          <w:p w14:paraId="0A38EAFA" w14:textId="77777777" w:rsidR="006B5FBF" w:rsidRPr="00B44B59" w:rsidRDefault="006B5FBF" w:rsidP="00246189">
            <w:pPr>
              <w:snapToGrid w:val="0"/>
              <w:jc w:val="right"/>
              <w:rPr>
                <w:rFonts w:cs="Arial"/>
                <w:sz w:val="20"/>
              </w:rPr>
            </w:pPr>
            <w:r w:rsidRPr="00B44B59">
              <w:rPr>
                <w:rFonts w:cs="Arial"/>
                <w:sz w:val="20"/>
              </w:rPr>
              <w:t>Kosten der Mobilitätsberatung:</w:t>
            </w:r>
          </w:p>
        </w:tc>
        <w:tc>
          <w:tcPr>
            <w:tcW w:w="5576" w:type="dxa"/>
            <w:vAlign w:val="center"/>
          </w:tcPr>
          <w:p w14:paraId="449B2733" w14:textId="77777777" w:rsidR="006B5FBF" w:rsidRPr="00B44B59" w:rsidRDefault="006B5FBF" w:rsidP="00246189">
            <w:pPr>
              <w:tabs>
                <w:tab w:val="left" w:pos="187"/>
              </w:tabs>
              <w:snapToGrid w:val="0"/>
              <w:spacing w:line="240" w:lineRule="auto"/>
              <w:rPr>
                <w:rFonts w:cs="Arial"/>
                <w:sz w:val="20"/>
              </w:rPr>
            </w:pPr>
            <w:r w:rsidRPr="00B44B59">
              <w:rPr>
                <w:rFonts w:cs="Arial"/>
                <w:sz w:val="20"/>
              </w:rPr>
              <w:tab/>
            </w:r>
            <w:r w:rsidRPr="00B44B59">
              <w:rPr>
                <w:rFonts w:cs="Arial"/>
                <w:sz w:val="20"/>
              </w:rPr>
              <w:fldChar w:fldCharType="begin">
                <w:ffData>
                  <w:name w:val="Text20"/>
                  <w:enabled/>
                  <w:calcOnExit w:val="0"/>
                  <w:textInput/>
                </w:ffData>
              </w:fldChar>
            </w:r>
            <w:r w:rsidRPr="00B44B59">
              <w:rPr>
                <w:rFonts w:cs="Arial"/>
                <w:sz w:val="20"/>
              </w:rPr>
              <w:instrText xml:space="preserve"> FORMTEXT </w:instrText>
            </w:r>
            <w:r w:rsidRPr="00B44B59">
              <w:rPr>
                <w:rFonts w:cs="Arial"/>
                <w:sz w:val="20"/>
              </w:rPr>
            </w:r>
            <w:r w:rsidRPr="00B44B59">
              <w:rPr>
                <w:rFonts w:cs="Arial"/>
                <w:sz w:val="20"/>
              </w:rPr>
              <w:fldChar w:fldCharType="separate"/>
            </w:r>
            <w:r w:rsidRPr="00B44B59">
              <w:rPr>
                <w:rFonts w:cs="Arial"/>
                <w:noProof/>
                <w:sz w:val="20"/>
              </w:rPr>
              <w:t> </w:t>
            </w:r>
            <w:r w:rsidRPr="00B44B59">
              <w:rPr>
                <w:rFonts w:cs="Arial"/>
                <w:noProof/>
                <w:sz w:val="20"/>
              </w:rPr>
              <w:t> </w:t>
            </w:r>
            <w:r w:rsidRPr="00B44B59">
              <w:rPr>
                <w:rFonts w:cs="Arial"/>
                <w:noProof/>
                <w:sz w:val="20"/>
              </w:rPr>
              <w:t> </w:t>
            </w:r>
            <w:r w:rsidRPr="00B44B59">
              <w:rPr>
                <w:rFonts w:cs="Arial"/>
                <w:noProof/>
                <w:sz w:val="20"/>
              </w:rPr>
              <w:t> </w:t>
            </w:r>
            <w:r w:rsidRPr="00B44B59">
              <w:rPr>
                <w:rFonts w:cs="Arial"/>
                <w:noProof/>
                <w:sz w:val="20"/>
              </w:rPr>
              <w:t> </w:t>
            </w:r>
            <w:r w:rsidRPr="00B44B59">
              <w:rPr>
                <w:rFonts w:cs="Arial"/>
                <w:sz w:val="20"/>
              </w:rPr>
              <w:fldChar w:fldCharType="end"/>
            </w:r>
          </w:p>
        </w:tc>
      </w:tr>
    </w:tbl>
    <w:p w14:paraId="00D7F3E9" w14:textId="77777777" w:rsidR="006B5FBF" w:rsidRDefault="006B5FBF" w:rsidP="006F74FC">
      <w:pPr>
        <w:jc w:val="center"/>
        <w:rPr>
          <w:b/>
          <w:bCs/>
          <w:sz w:val="32"/>
          <w:szCs w:val="32"/>
        </w:rPr>
      </w:pPr>
    </w:p>
    <w:p w14:paraId="727E9FA8" w14:textId="77777777" w:rsidR="006B5FBF" w:rsidRDefault="006B5FBF">
      <w:pPr>
        <w:spacing w:line="240" w:lineRule="auto"/>
        <w:rPr>
          <w:b/>
          <w:bCs/>
          <w:sz w:val="32"/>
          <w:szCs w:val="32"/>
        </w:rPr>
      </w:pPr>
      <w:r>
        <w:rPr>
          <w:b/>
          <w:bCs/>
          <w:sz w:val="32"/>
          <w:szCs w:val="32"/>
        </w:rPr>
        <w:br w:type="page"/>
      </w:r>
    </w:p>
    <w:p w14:paraId="797232E4" w14:textId="59B4DD1A" w:rsidR="006F74FC" w:rsidRPr="00573BE2" w:rsidRDefault="006F74FC" w:rsidP="006F74FC">
      <w:pPr>
        <w:jc w:val="center"/>
        <w:rPr>
          <w:sz w:val="32"/>
          <w:szCs w:val="32"/>
        </w:rPr>
      </w:pPr>
      <w:r w:rsidRPr="00573BE2">
        <w:rPr>
          <w:b/>
          <w:bCs/>
          <w:sz w:val="32"/>
          <w:szCs w:val="32"/>
        </w:rPr>
        <w:lastRenderedPageBreak/>
        <w:t>Erlä</w:t>
      </w:r>
      <w:r w:rsidR="009E57AE">
        <w:rPr>
          <w:b/>
          <w:bCs/>
          <w:sz w:val="32"/>
          <w:szCs w:val="32"/>
        </w:rPr>
        <w:t>uterungen für die Förderung</w:t>
      </w:r>
      <w:r w:rsidR="009E57AE">
        <w:rPr>
          <w:b/>
          <w:bCs/>
          <w:sz w:val="32"/>
          <w:szCs w:val="32"/>
        </w:rPr>
        <w:br/>
        <w:t>betrieblicher Mobilitätsberatungen</w:t>
      </w:r>
    </w:p>
    <w:p w14:paraId="2D173E1B" w14:textId="77777777" w:rsidR="006F74FC" w:rsidRPr="000C525C" w:rsidRDefault="006F74FC" w:rsidP="006F74FC">
      <w:pPr>
        <w:spacing w:before="120" w:line="240" w:lineRule="atLeast"/>
        <w:jc w:val="both"/>
        <w:rPr>
          <w:color w:val="000000"/>
          <w:sz w:val="12"/>
          <w:szCs w:val="24"/>
        </w:rPr>
      </w:pPr>
    </w:p>
    <w:p w14:paraId="6FB64D39" w14:textId="77777777" w:rsidR="006F74FC" w:rsidRDefault="006F74FC" w:rsidP="006F74FC">
      <w:pPr>
        <w:spacing w:line="260" w:lineRule="exact"/>
        <w:ind w:right="181"/>
        <w:jc w:val="both"/>
        <w:rPr>
          <w:color w:val="000000"/>
          <w:sz w:val="24"/>
        </w:rPr>
        <w:sectPr w:rsidR="006F74FC" w:rsidSect="00D04CE3">
          <w:footerReference w:type="default" r:id="rId10"/>
          <w:headerReference w:type="first" r:id="rId11"/>
          <w:footerReference w:type="first" r:id="rId12"/>
          <w:pgSz w:w="11906" w:h="16838" w:code="9"/>
          <w:pgMar w:top="1134" w:right="851" w:bottom="1701" w:left="1418" w:header="851" w:footer="851" w:gutter="0"/>
          <w:cols w:space="720"/>
          <w:titlePg/>
        </w:sectPr>
      </w:pPr>
    </w:p>
    <w:p w14:paraId="4FCF0BF3" w14:textId="77777777" w:rsidR="009E57AE" w:rsidRPr="00360737" w:rsidRDefault="009E57AE" w:rsidP="009E57AE">
      <w:pPr>
        <w:spacing w:after="240" w:line="240" w:lineRule="atLeast"/>
        <w:ind w:right="181"/>
        <w:rPr>
          <w:rStyle w:val="A3"/>
          <w:rFonts w:cs="Arial"/>
          <w:color w:val="000000"/>
          <w:sz w:val="24"/>
          <w:lang w:val="de-DE"/>
        </w:rPr>
      </w:pPr>
      <w:r w:rsidRPr="00B44B59">
        <w:rPr>
          <w:rFonts w:cs="Arial"/>
          <w:color w:val="000000"/>
          <w:sz w:val="24"/>
        </w:rPr>
        <w:t>Was wird gefördert?</w:t>
      </w:r>
    </w:p>
    <w:p w14:paraId="550A4F1B" w14:textId="77777777" w:rsidR="009E57AE" w:rsidRPr="00B44B59" w:rsidRDefault="009E57AE" w:rsidP="009E57AE">
      <w:pPr>
        <w:pStyle w:val="Default"/>
        <w:rPr>
          <w:rStyle w:val="A3"/>
          <w:rFonts w:ascii="Arial" w:hAnsi="Arial" w:cs="Arial"/>
          <w:color w:val="auto"/>
          <w:sz w:val="20"/>
          <w:szCs w:val="20"/>
        </w:rPr>
      </w:pPr>
      <w:r w:rsidRPr="00B44B59">
        <w:rPr>
          <w:rStyle w:val="A3"/>
          <w:rFonts w:ascii="Arial" w:hAnsi="Arial" w:cs="Arial"/>
          <w:color w:val="auto"/>
          <w:sz w:val="20"/>
          <w:szCs w:val="20"/>
        </w:rPr>
        <w:t xml:space="preserve">Gefördert </w:t>
      </w:r>
      <w:r w:rsidRPr="00B44B59">
        <w:rPr>
          <w:rStyle w:val="A3"/>
          <w:rFonts w:ascii="Arial" w:hAnsi="Arial" w:cs="Arial"/>
          <w:sz w:val="20"/>
          <w:szCs w:val="20"/>
        </w:rPr>
        <w:t>wird die Mobilitätsberatung</w:t>
      </w:r>
      <w:r w:rsidRPr="00B44B59">
        <w:rPr>
          <w:rStyle w:val="A3"/>
          <w:rFonts w:ascii="Arial" w:hAnsi="Arial" w:cs="Arial"/>
          <w:color w:val="auto"/>
          <w:sz w:val="20"/>
          <w:szCs w:val="20"/>
        </w:rPr>
        <w:t xml:space="preserve"> durch externe Berater/innen. Es handelt sich um eine Anschlussförderung im Rahmen der „Betrieblichen Umweltoffensive“ des Landes Oberöster</w:t>
      </w:r>
      <w:r w:rsidRPr="00B44B59">
        <w:rPr>
          <w:rStyle w:val="A3"/>
          <w:rFonts w:ascii="Arial" w:hAnsi="Arial" w:cs="Arial"/>
          <w:sz w:val="20"/>
          <w:szCs w:val="20"/>
        </w:rPr>
        <w:t xml:space="preserve">reich für </w:t>
      </w:r>
      <w:r w:rsidRPr="00B44B59">
        <w:rPr>
          <w:rStyle w:val="A3"/>
          <w:rFonts w:ascii="Arial" w:hAnsi="Arial" w:cs="Arial"/>
          <w:color w:val="auto"/>
          <w:sz w:val="20"/>
          <w:szCs w:val="20"/>
        </w:rPr>
        <w:t xml:space="preserve">Beratungsleistungen im Bereich Mobilität. Gefördert werden Betriebe, Firmen, Organisationen, etc. </w:t>
      </w:r>
    </w:p>
    <w:p w14:paraId="078992E2" w14:textId="77777777" w:rsidR="009E57AE" w:rsidRPr="00360737" w:rsidRDefault="009E57AE" w:rsidP="009E57AE">
      <w:pPr>
        <w:pStyle w:val="Default"/>
        <w:spacing w:before="120"/>
        <w:rPr>
          <w:rFonts w:ascii="Arial" w:hAnsi="Arial" w:cs="Arial"/>
          <w:color w:val="auto"/>
          <w:sz w:val="20"/>
          <w:szCs w:val="20"/>
        </w:rPr>
      </w:pPr>
      <w:r w:rsidRPr="00B44B59">
        <w:rPr>
          <w:rStyle w:val="A3"/>
          <w:rFonts w:ascii="Arial" w:hAnsi="Arial" w:cs="Arial"/>
          <w:color w:val="auto"/>
          <w:sz w:val="20"/>
          <w:szCs w:val="20"/>
        </w:rPr>
        <w:t>Gebietskörperschaften werden nicht gefördert.</w:t>
      </w:r>
    </w:p>
    <w:p w14:paraId="43D493EF" w14:textId="77777777" w:rsidR="009E57AE" w:rsidRPr="00B44B59" w:rsidRDefault="009E57AE" w:rsidP="009E57AE">
      <w:pPr>
        <w:spacing w:before="480" w:after="240" w:line="240" w:lineRule="atLeast"/>
        <w:ind w:right="181"/>
        <w:rPr>
          <w:rFonts w:cs="Arial"/>
          <w:color w:val="000000"/>
          <w:sz w:val="24"/>
        </w:rPr>
      </w:pPr>
      <w:r w:rsidRPr="00B44B59">
        <w:rPr>
          <w:rFonts w:cs="Arial"/>
          <w:color w:val="000000"/>
          <w:sz w:val="24"/>
        </w:rPr>
        <w:t>Voraussetzungen für eine Förderung</w:t>
      </w:r>
    </w:p>
    <w:p w14:paraId="4D3C1BA1" w14:textId="77777777" w:rsidR="009E57AE" w:rsidRPr="00360737" w:rsidRDefault="009E57AE" w:rsidP="009E57AE">
      <w:pPr>
        <w:pStyle w:val="Default"/>
        <w:numPr>
          <w:ilvl w:val="0"/>
          <w:numId w:val="12"/>
        </w:numPr>
        <w:tabs>
          <w:tab w:val="clear" w:pos="360"/>
        </w:tabs>
        <w:spacing w:before="240" w:after="240"/>
        <w:ind w:left="284" w:hanging="284"/>
        <w:rPr>
          <w:rFonts w:ascii="Arial" w:hAnsi="Arial" w:cs="Arial"/>
          <w:sz w:val="20"/>
          <w:szCs w:val="20"/>
        </w:rPr>
      </w:pPr>
      <w:r w:rsidRPr="00B44B59">
        <w:rPr>
          <w:rFonts w:ascii="Arial" w:hAnsi="Arial" w:cs="Arial"/>
          <w:sz w:val="20"/>
          <w:szCs w:val="20"/>
        </w:rPr>
        <w:t>Der Standort des Förderungswerbers/der Förderungswerberin muss in Linz sein</w:t>
      </w:r>
    </w:p>
    <w:p w14:paraId="15FCC73B" w14:textId="77777777" w:rsidR="009E57AE" w:rsidRDefault="009E57AE" w:rsidP="009E57AE">
      <w:pPr>
        <w:pStyle w:val="Default"/>
        <w:numPr>
          <w:ilvl w:val="0"/>
          <w:numId w:val="12"/>
        </w:numPr>
        <w:tabs>
          <w:tab w:val="clear" w:pos="360"/>
        </w:tabs>
        <w:spacing w:before="240" w:after="240"/>
        <w:ind w:left="284" w:hanging="284"/>
        <w:rPr>
          <w:rFonts w:ascii="Arial" w:hAnsi="Arial" w:cs="Arial"/>
          <w:sz w:val="20"/>
          <w:szCs w:val="20"/>
        </w:rPr>
      </w:pPr>
      <w:r w:rsidRPr="00B44B59">
        <w:rPr>
          <w:rFonts w:ascii="Arial" w:hAnsi="Arial" w:cs="Arial"/>
          <w:sz w:val="20"/>
          <w:szCs w:val="20"/>
        </w:rPr>
        <w:t>Die Beratung muss unter den Bedingungen der Betrieblichen Umweltoffensive des Landes Oberösterreich erfolgt und deren Förderung in Anspruch genommen worden sein:</w:t>
      </w:r>
    </w:p>
    <w:p w14:paraId="1D73F0D0" w14:textId="77777777" w:rsidR="009E57AE" w:rsidRPr="00B44B59" w:rsidRDefault="009E57AE" w:rsidP="009E57AE">
      <w:pPr>
        <w:pStyle w:val="Default"/>
        <w:spacing w:before="240" w:after="240"/>
        <w:ind w:left="284"/>
        <w:rPr>
          <w:rFonts w:ascii="Arial" w:hAnsi="Arial" w:cs="Arial"/>
          <w:sz w:val="20"/>
          <w:szCs w:val="20"/>
        </w:rPr>
      </w:pPr>
      <w:r w:rsidRPr="00B44B59">
        <w:rPr>
          <w:rFonts w:ascii="Arial" w:hAnsi="Arial" w:cs="Arial"/>
          <w:sz w:val="20"/>
          <w:szCs w:val="20"/>
        </w:rPr>
        <w:sym w:font="Wingdings" w:char="F0E0"/>
      </w:r>
      <w:r w:rsidRPr="00B44B59">
        <w:rPr>
          <w:rFonts w:ascii="Arial" w:hAnsi="Arial" w:cs="Arial"/>
          <w:sz w:val="20"/>
          <w:szCs w:val="20"/>
        </w:rPr>
        <w:t xml:space="preserve"> siehe </w:t>
      </w:r>
      <w:hyperlink r:id="rId13" w:history="1">
        <w:r w:rsidRPr="00B44B59">
          <w:rPr>
            <w:rStyle w:val="Hyperlink"/>
            <w:rFonts w:ascii="Arial" w:hAnsi="Arial" w:cs="Arial"/>
            <w:sz w:val="20"/>
            <w:szCs w:val="20"/>
          </w:rPr>
          <w:t>http://www.betrieblicheumweltoffensive.at/</w:t>
        </w:r>
      </w:hyperlink>
      <w:r w:rsidRPr="00B44B59">
        <w:rPr>
          <w:rFonts w:ascii="Arial" w:hAnsi="Arial" w:cs="Arial"/>
          <w:sz w:val="20"/>
          <w:szCs w:val="20"/>
        </w:rPr>
        <w:t xml:space="preserve"> </w:t>
      </w:r>
    </w:p>
    <w:p w14:paraId="03EA0EE4" w14:textId="77777777" w:rsidR="009E57AE" w:rsidRPr="00360737" w:rsidRDefault="009E57AE" w:rsidP="009E57AE">
      <w:pPr>
        <w:spacing w:before="480" w:after="240" w:line="240" w:lineRule="atLeast"/>
        <w:ind w:right="181"/>
        <w:rPr>
          <w:rFonts w:cs="Arial"/>
          <w:color w:val="000000"/>
          <w:sz w:val="24"/>
        </w:rPr>
      </w:pPr>
      <w:r w:rsidRPr="00B44B59">
        <w:rPr>
          <w:rFonts w:cs="Arial"/>
          <w:color w:val="000000"/>
          <w:sz w:val="24"/>
        </w:rPr>
        <w:t>Wie erfolgt die Mobilitätsberatung?</w:t>
      </w:r>
    </w:p>
    <w:p w14:paraId="454A0490" w14:textId="77777777" w:rsidR="009E57AE" w:rsidRPr="00B44B59" w:rsidRDefault="009E57AE" w:rsidP="009E57AE">
      <w:pPr>
        <w:autoSpaceDE w:val="0"/>
        <w:autoSpaceDN w:val="0"/>
        <w:adjustRightInd w:val="0"/>
        <w:spacing w:before="120" w:line="240" w:lineRule="auto"/>
        <w:rPr>
          <w:rStyle w:val="A3"/>
          <w:rFonts w:cs="Arial"/>
          <w:sz w:val="20"/>
        </w:rPr>
      </w:pPr>
      <w:r w:rsidRPr="00B44B59">
        <w:rPr>
          <w:rStyle w:val="A3"/>
          <w:rFonts w:cs="Arial"/>
          <w:sz w:val="20"/>
        </w:rPr>
        <w:t>Üblicherweise erfolgt eine betriebliche Mobilitätsberatung in zwei Schritten:</w:t>
      </w:r>
    </w:p>
    <w:p w14:paraId="439DE9F2" w14:textId="77777777" w:rsidR="009E57AE" w:rsidRPr="00360737" w:rsidRDefault="009E57AE" w:rsidP="009E57AE">
      <w:pPr>
        <w:pStyle w:val="Listenabsatz"/>
        <w:numPr>
          <w:ilvl w:val="0"/>
          <w:numId w:val="14"/>
        </w:numPr>
        <w:tabs>
          <w:tab w:val="left" w:pos="284"/>
          <w:tab w:val="left" w:pos="851"/>
          <w:tab w:val="left" w:pos="1191"/>
        </w:tabs>
        <w:autoSpaceDE w:val="0"/>
        <w:autoSpaceDN w:val="0"/>
        <w:adjustRightInd w:val="0"/>
        <w:spacing w:before="240" w:after="120" w:line="240" w:lineRule="auto"/>
        <w:ind w:left="284" w:hanging="284"/>
        <w:contextualSpacing w:val="0"/>
        <w:rPr>
          <w:rStyle w:val="A3"/>
          <w:rFonts w:cs="Arial"/>
          <w:sz w:val="20"/>
        </w:rPr>
      </w:pPr>
      <w:r w:rsidRPr="00B44B59">
        <w:rPr>
          <w:rStyle w:val="A3"/>
          <w:rFonts w:cs="Arial"/>
          <w:sz w:val="20"/>
        </w:rPr>
        <w:t>Betriebsanalyse (bis zu 12 Stunden)</w:t>
      </w:r>
    </w:p>
    <w:p w14:paraId="1C24B664" w14:textId="77777777" w:rsidR="009E57AE" w:rsidRPr="00B44B59" w:rsidRDefault="009E57AE" w:rsidP="009E57AE">
      <w:pPr>
        <w:pStyle w:val="Listenabsatz"/>
        <w:numPr>
          <w:ilvl w:val="0"/>
          <w:numId w:val="14"/>
        </w:numPr>
        <w:tabs>
          <w:tab w:val="left" w:pos="851"/>
          <w:tab w:val="left" w:pos="1191"/>
        </w:tabs>
        <w:autoSpaceDE w:val="0"/>
        <w:autoSpaceDN w:val="0"/>
        <w:adjustRightInd w:val="0"/>
        <w:spacing w:before="240" w:after="120" w:line="240" w:lineRule="auto"/>
        <w:ind w:left="284" w:hanging="284"/>
        <w:contextualSpacing w:val="0"/>
        <w:rPr>
          <w:rStyle w:val="A3"/>
          <w:rFonts w:cs="Arial"/>
          <w:sz w:val="20"/>
        </w:rPr>
      </w:pPr>
      <w:r w:rsidRPr="00B44B59">
        <w:rPr>
          <w:rStyle w:val="A3"/>
          <w:rFonts w:cs="Arial"/>
          <w:sz w:val="20"/>
        </w:rPr>
        <w:t>Schwerpunktberatung: bis zu 28-stündige kostenfreie Schwerpunktberatung im Bereich Mobilität</w:t>
      </w:r>
    </w:p>
    <w:p w14:paraId="4775ED20" w14:textId="77777777" w:rsidR="009E57AE" w:rsidRPr="00B44B59" w:rsidRDefault="009E57AE" w:rsidP="009E57AE">
      <w:pPr>
        <w:spacing w:after="240" w:line="240" w:lineRule="atLeast"/>
        <w:ind w:right="181"/>
        <w:rPr>
          <w:rFonts w:cs="Arial"/>
          <w:color w:val="000000"/>
          <w:sz w:val="24"/>
        </w:rPr>
      </w:pPr>
      <w:r w:rsidRPr="00B44B59">
        <w:rPr>
          <w:rStyle w:val="A3"/>
          <w:rFonts w:cs="Arial"/>
          <w:sz w:val="22"/>
          <w:szCs w:val="22"/>
        </w:rPr>
        <w:br w:type="column"/>
      </w:r>
      <w:r w:rsidRPr="00B44B59">
        <w:rPr>
          <w:rFonts w:cs="Arial"/>
          <w:color w:val="000000"/>
          <w:sz w:val="24"/>
        </w:rPr>
        <w:t>Förderhöhe</w:t>
      </w:r>
    </w:p>
    <w:p w14:paraId="1216B374" w14:textId="77777777" w:rsidR="009E57AE" w:rsidRPr="00B44B59" w:rsidRDefault="009E57AE" w:rsidP="009E57AE">
      <w:pPr>
        <w:pStyle w:val="Default"/>
        <w:numPr>
          <w:ilvl w:val="0"/>
          <w:numId w:val="12"/>
        </w:numPr>
        <w:tabs>
          <w:tab w:val="clear" w:pos="360"/>
        </w:tabs>
        <w:spacing w:before="240" w:after="240"/>
        <w:ind w:left="284" w:hanging="284"/>
        <w:rPr>
          <w:rFonts w:ascii="Arial" w:hAnsi="Arial" w:cs="Arial"/>
          <w:sz w:val="20"/>
          <w:szCs w:val="20"/>
        </w:rPr>
      </w:pPr>
      <w:r w:rsidRPr="00B44B59">
        <w:rPr>
          <w:rFonts w:ascii="Arial" w:hAnsi="Arial" w:cs="Arial"/>
          <w:sz w:val="20"/>
          <w:szCs w:val="20"/>
        </w:rPr>
        <w:t xml:space="preserve">Die Förderung beträgt 30 % des </w:t>
      </w:r>
      <w:r>
        <w:rPr>
          <w:rFonts w:ascii="Arial" w:hAnsi="Arial" w:cs="Arial"/>
          <w:sz w:val="20"/>
          <w:szCs w:val="20"/>
        </w:rPr>
        <w:t>ursprünglichen Beratungswertes.</w:t>
      </w:r>
    </w:p>
    <w:p w14:paraId="0BEF1FEB" w14:textId="77777777" w:rsidR="009E57AE" w:rsidRPr="00B44B59" w:rsidRDefault="009E57AE" w:rsidP="009E57AE">
      <w:pPr>
        <w:pStyle w:val="Default"/>
        <w:spacing w:before="240" w:after="240"/>
        <w:ind w:left="284"/>
        <w:rPr>
          <w:rFonts w:ascii="Arial" w:hAnsi="Arial" w:cs="Arial"/>
          <w:sz w:val="20"/>
          <w:szCs w:val="20"/>
        </w:rPr>
      </w:pPr>
      <w:r w:rsidRPr="00B44B59">
        <w:rPr>
          <w:rFonts w:ascii="Arial" w:hAnsi="Arial" w:cs="Arial"/>
          <w:sz w:val="20"/>
          <w:szCs w:val="20"/>
        </w:rPr>
        <w:t>Da das Land Oberösterreich 50 % und die Stadt Linz 30 % der Beratungskosten übernehmen, verbleibt für die Unternehmen/Firmen/Organisationen ein Selbstbehalt von 20 </w:t>
      </w:r>
      <w:r>
        <w:rPr>
          <w:rFonts w:ascii="Arial" w:hAnsi="Arial" w:cs="Arial"/>
          <w:sz w:val="20"/>
          <w:szCs w:val="20"/>
        </w:rPr>
        <w:t>% der Beratungskosten.</w:t>
      </w:r>
    </w:p>
    <w:p w14:paraId="6FA82561" w14:textId="77777777" w:rsidR="009E57AE" w:rsidRPr="00B44B59" w:rsidRDefault="009E57AE" w:rsidP="009E57AE">
      <w:pPr>
        <w:pStyle w:val="Default"/>
        <w:numPr>
          <w:ilvl w:val="0"/>
          <w:numId w:val="12"/>
        </w:numPr>
        <w:tabs>
          <w:tab w:val="clear" w:pos="360"/>
        </w:tabs>
        <w:spacing w:before="240" w:after="240"/>
        <w:ind w:left="284" w:hanging="284"/>
        <w:rPr>
          <w:rFonts w:ascii="Arial" w:hAnsi="Arial" w:cs="Arial"/>
          <w:sz w:val="20"/>
          <w:szCs w:val="20"/>
        </w:rPr>
      </w:pPr>
      <w:r w:rsidRPr="00B44B59">
        <w:rPr>
          <w:rFonts w:ascii="Arial" w:hAnsi="Arial" w:cs="Arial"/>
          <w:sz w:val="20"/>
          <w:szCs w:val="20"/>
        </w:rPr>
        <w:t>Die Maximalförderung der Stadt Linz beträgt € 1.</w:t>
      </w:r>
      <w:proofErr w:type="gramStart"/>
      <w:r w:rsidRPr="00B44B59">
        <w:rPr>
          <w:rFonts w:ascii="Arial" w:hAnsi="Arial" w:cs="Arial"/>
          <w:sz w:val="20"/>
          <w:szCs w:val="20"/>
        </w:rPr>
        <w:t>000,--</w:t>
      </w:r>
      <w:proofErr w:type="gramEnd"/>
      <w:r w:rsidRPr="00B44B59">
        <w:rPr>
          <w:rFonts w:ascii="Arial" w:hAnsi="Arial" w:cs="Arial"/>
          <w:sz w:val="20"/>
          <w:szCs w:val="20"/>
        </w:rPr>
        <w:t xml:space="preserve"> </w:t>
      </w:r>
    </w:p>
    <w:p w14:paraId="20AEDE1F" w14:textId="77777777" w:rsidR="009E57AE" w:rsidRPr="00B44B59" w:rsidRDefault="009E57AE" w:rsidP="009E57AE">
      <w:pPr>
        <w:spacing w:before="480" w:after="240" w:line="240" w:lineRule="atLeast"/>
        <w:ind w:right="181"/>
        <w:rPr>
          <w:rFonts w:cs="Arial"/>
          <w:color w:val="000000"/>
          <w:sz w:val="24"/>
        </w:rPr>
      </w:pPr>
      <w:r w:rsidRPr="00B44B59">
        <w:rPr>
          <w:rFonts w:cs="Arial"/>
          <w:color w:val="000000"/>
          <w:sz w:val="24"/>
        </w:rPr>
        <w:t>Was ist zu tun?</w:t>
      </w:r>
    </w:p>
    <w:p w14:paraId="6F8C03AE" w14:textId="77777777" w:rsidR="009E57AE" w:rsidRPr="00B44B59" w:rsidRDefault="009E57AE" w:rsidP="009E57AE">
      <w:pPr>
        <w:pStyle w:val="Default"/>
        <w:numPr>
          <w:ilvl w:val="0"/>
          <w:numId w:val="13"/>
        </w:numPr>
        <w:spacing w:before="120" w:after="240"/>
        <w:ind w:left="284" w:hanging="284"/>
        <w:rPr>
          <w:rFonts w:ascii="Arial" w:hAnsi="Arial" w:cs="Arial"/>
          <w:sz w:val="20"/>
          <w:szCs w:val="20"/>
        </w:rPr>
      </w:pPr>
      <w:r w:rsidRPr="00B44B59">
        <w:rPr>
          <w:rFonts w:ascii="Arial" w:hAnsi="Arial" w:cs="Arial"/>
          <w:sz w:val="20"/>
          <w:szCs w:val="20"/>
        </w:rPr>
        <w:t>Mobilitätsberatung durch externe Berater/innen im Rahmen der Betrieblichen Umweltoffensive des Landes (</w:t>
      </w:r>
      <w:hyperlink r:id="rId14" w:history="1">
        <w:r w:rsidRPr="00B44B59">
          <w:rPr>
            <w:rStyle w:val="Hyperlink"/>
            <w:rFonts w:ascii="Arial" w:hAnsi="Arial" w:cs="Arial"/>
            <w:sz w:val="20"/>
            <w:szCs w:val="20"/>
          </w:rPr>
          <w:t>www.betrieblicheumweltoffensive.at/</w:t>
        </w:r>
      </w:hyperlink>
      <w:r w:rsidRPr="00B44B59">
        <w:rPr>
          <w:rFonts w:ascii="Arial" w:hAnsi="Arial" w:cs="Arial"/>
          <w:sz w:val="20"/>
          <w:szCs w:val="20"/>
        </w:rPr>
        <w:t>) in Anspruch nehmen</w:t>
      </w:r>
    </w:p>
    <w:p w14:paraId="697621CB" w14:textId="77777777" w:rsidR="009E57AE" w:rsidRPr="00B44B59" w:rsidRDefault="009E57AE" w:rsidP="009E57AE">
      <w:pPr>
        <w:pStyle w:val="Default"/>
        <w:numPr>
          <w:ilvl w:val="0"/>
          <w:numId w:val="13"/>
        </w:numPr>
        <w:spacing w:before="120" w:after="240"/>
        <w:ind w:left="284" w:hanging="284"/>
        <w:rPr>
          <w:rFonts w:ascii="Arial" w:hAnsi="Arial" w:cs="Arial"/>
          <w:sz w:val="20"/>
          <w:szCs w:val="20"/>
        </w:rPr>
      </w:pPr>
      <w:r w:rsidRPr="00B44B59">
        <w:rPr>
          <w:rFonts w:ascii="Arial" w:hAnsi="Arial" w:cs="Arial"/>
          <w:sz w:val="20"/>
          <w:szCs w:val="20"/>
        </w:rPr>
        <w:t>Die Rechnung bezahlen</w:t>
      </w:r>
    </w:p>
    <w:p w14:paraId="73FB650D" w14:textId="77777777" w:rsidR="009E57AE" w:rsidRPr="00B44B59" w:rsidRDefault="009E57AE" w:rsidP="009E57AE">
      <w:pPr>
        <w:pStyle w:val="Default"/>
        <w:numPr>
          <w:ilvl w:val="0"/>
          <w:numId w:val="13"/>
        </w:numPr>
        <w:spacing w:before="120" w:after="240"/>
        <w:ind w:left="284" w:hanging="284"/>
        <w:rPr>
          <w:rFonts w:ascii="Arial" w:hAnsi="Arial" w:cs="Arial"/>
          <w:sz w:val="20"/>
        </w:rPr>
      </w:pPr>
      <w:r w:rsidRPr="00B44B59">
        <w:rPr>
          <w:rFonts w:ascii="Arial" w:hAnsi="Arial" w:cs="Arial"/>
          <w:sz w:val="20"/>
          <w:szCs w:val="20"/>
        </w:rPr>
        <w:t xml:space="preserve">Förderantrag ausfüllen, </w:t>
      </w:r>
      <w:r w:rsidRPr="00B44B59">
        <w:rPr>
          <w:rFonts w:ascii="Arial" w:hAnsi="Arial" w:cs="Arial"/>
          <w:sz w:val="20"/>
        </w:rPr>
        <w:t>Rechnung</w:t>
      </w:r>
      <w:r>
        <w:rPr>
          <w:rFonts w:ascii="Arial" w:hAnsi="Arial" w:cs="Arial"/>
          <w:sz w:val="20"/>
        </w:rPr>
        <w:t xml:space="preserve"> (nicht älter als 1 Jahr)</w:t>
      </w:r>
      <w:r w:rsidRPr="00B44B59">
        <w:rPr>
          <w:rFonts w:ascii="Arial" w:hAnsi="Arial" w:cs="Arial"/>
          <w:sz w:val="20"/>
        </w:rPr>
        <w:t xml:space="preserve"> für die durchgeführte Mobilitätsberatung und Zahlungsnachweis beilegen</w:t>
      </w:r>
    </w:p>
    <w:p w14:paraId="0E608AAD" w14:textId="1EB90C69" w:rsidR="009E57AE" w:rsidRPr="00360737" w:rsidRDefault="0086464F" w:rsidP="009E57AE">
      <w:pPr>
        <w:pStyle w:val="Default"/>
        <w:numPr>
          <w:ilvl w:val="0"/>
          <w:numId w:val="13"/>
        </w:numPr>
        <w:spacing w:before="120" w:after="240"/>
        <w:ind w:left="284" w:hanging="284"/>
        <w:rPr>
          <w:rFonts w:ascii="Arial" w:hAnsi="Arial" w:cs="Arial"/>
          <w:sz w:val="20"/>
        </w:rPr>
      </w:pPr>
      <w:r>
        <w:rPr>
          <w:rFonts w:ascii="Arial" w:hAnsi="Arial" w:cs="Arial"/>
          <w:sz w:val="20"/>
        </w:rPr>
        <w:t>Antrag</w:t>
      </w:r>
      <w:r w:rsidR="009E57AE" w:rsidRPr="00B44B59">
        <w:rPr>
          <w:rFonts w:ascii="Arial" w:hAnsi="Arial" w:cs="Arial"/>
          <w:sz w:val="20"/>
        </w:rPr>
        <w:t xml:space="preserve">, Rechnung und Zahlungsnachweis bevorzugt in einem Sammeldokument (PDF) via E-Mail an </w:t>
      </w:r>
      <w:hyperlink r:id="rId15" w:history="1">
        <w:r w:rsidR="009E57AE" w:rsidRPr="00EA675B">
          <w:rPr>
            <w:rStyle w:val="Hyperlink"/>
            <w:rFonts w:ascii="Arial" w:hAnsi="Arial" w:cs="Arial"/>
            <w:sz w:val="20"/>
          </w:rPr>
          <w:t>ptu.sku@mag.linz.at</w:t>
        </w:r>
      </w:hyperlink>
      <w:r w:rsidR="009E57AE" w:rsidRPr="00B44B59">
        <w:rPr>
          <w:rFonts w:ascii="Arial" w:hAnsi="Arial" w:cs="Arial"/>
          <w:sz w:val="20"/>
        </w:rPr>
        <w:t xml:space="preserve"> oder per Post an die oben angeführte Adresse einreichen</w:t>
      </w:r>
    </w:p>
    <w:p w14:paraId="28B4D881" w14:textId="77777777" w:rsidR="009E57AE" w:rsidRPr="00B44B59" w:rsidRDefault="009E57AE" w:rsidP="009E57AE">
      <w:pPr>
        <w:spacing w:before="480" w:after="120" w:line="240" w:lineRule="atLeast"/>
        <w:rPr>
          <w:rFonts w:cs="Arial"/>
          <w:b/>
          <w:color w:val="000000"/>
          <w:sz w:val="24"/>
          <w:szCs w:val="24"/>
        </w:rPr>
      </w:pPr>
      <w:r w:rsidRPr="00B44B59">
        <w:rPr>
          <w:rFonts w:cs="Arial"/>
          <w:b/>
          <w:color w:val="000000"/>
          <w:sz w:val="24"/>
        </w:rPr>
        <w:t>Wichtig!</w:t>
      </w:r>
    </w:p>
    <w:p w14:paraId="3CE2958B" w14:textId="77777777" w:rsidR="009E57AE" w:rsidRPr="00B44B59" w:rsidRDefault="009E57AE" w:rsidP="009E57AE">
      <w:pPr>
        <w:spacing w:line="240" w:lineRule="atLeast"/>
        <w:rPr>
          <w:rFonts w:cs="Arial"/>
          <w:color w:val="000000"/>
          <w:sz w:val="20"/>
        </w:rPr>
      </w:pPr>
      <w:r w:rsidRPr="00B44B59">
        <w:rPr>
          <w:rFonts w:cs="Arial"/>
          <w:b/>
          <w:sz w:val="20"/>
        </w:rPr>
        <w:t>Sollten beim Förderantrag Unterlagen fehlen, werden Sie von uns</w:t>
      </w:r>
      <w:r>
        <w:rPr>
          <w:rFonts w:cs="Arial"/>
          <w:b/>
          <w:sz w:val="20"/>
        </w:rPr>
        <w:t xml:space="preserve"> einmalig</w:t>
      </w:r>
      <w:r w:rsidRPr="00B44B59">
        <w:rPr>
          <w:rFonts w:cs="Arial"/>
          <w:b/>
          <w:sz w:val="20"/>
        </w:rPr>
        <w:t xml:space="preserve"> aufgefordert werden, diese nachzureichen. Die Unterlagen müssen innerhalb von 3 Monaten ab erfolgter Aufforderung in der Förderstelle einlangen. Ansonsten gilt der Förderantrag als zurückgezogen.</w:t>
      </w:r>
    </w:p>
    <w:p w14:paraId="23B2BF72" w14:textId="1331898C" w:rsidR="0082601D" w:rsidRPr="007D0A24" w:rsidRDefault="0082601D" w:rsidP="009E57AE">
      <w:pPr>
        <w:spacing w:line="260" w:lineRule="exact"/>
        <w:ind w:right="181"/>
        <w:jc w:val="both"/>
        <w:rPr>
          <w:lang w:val="de-DE"/>
        </w:rPr>
      </w:pPr>
    </w:p>
    <w:sectPr w:rsidR="0082601D" w:rsidRPr="007D0A24" w:rsidSect="006C61C2">
      <w:type w:val="continuous"/>
      <w:pgSz w:w="11906" w:h="16838" w:code="9"/>
      <w:pgMar w:top="1134" w:right="1134" w:bottom="1701" w:left="1418" w:header="737" w:footer="82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316F" w14:textId="77777777" w:rsidR="00CB3E24" w:rsidRDefault="00CB3E24">
      <w:r>
        <w:separator/>
      </w:r>
    </w:p>
  </w:endnote>
  <w:endnote w:type="continuationSeparator" w:id="0">
    <w:p w14:paraId="09AC4ACD" w14:textId="77777777" w:rsidR="00CB3E24" w:rsidRDefault="00CB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e Gothic Next LT Pro">
    <w:altName w:val="Arial"/>
    <w:panose1 w:val="00000000000000000000"/>
    <w:charset w:val="00"/>
    <w:family w:val="swiss"/>
    <w:notTrueType/>
    <w:pitch w:val="variable"/>
    <w:sig w:usb0="00000001" w:usb1="5000205A" w:usb2="00000000" w:usb3="00000000" w:csb0="0000009B" w:csb1="00000000"/>
  </w:font>
  <w:font w:name="Trade Gothic Next LT Pro Lt">
    <w:altName w:val="Arial"/>
    <w:panose1 w:val="00000000000000000000"/>
    <w:charset w:val="00"/>
    <w:family w:val="swiss"/>
    <w:notTrueType/>
    <w:pitch w:val="variable"/>
    <w:sig w:usb0="00000001"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7958" w14:textId="56F818E0"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1223F">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E000" w14:textId="77777777" w:rsidR="004A3F3B" w:rsidRPr="00AE6BBA" w:rsidRDefault="004A3F3B" w:rsidP="00530E8D">
    <w:pPr>
      <w:pStyle w:val="CDFuzeileS1"/>
    </w:pPr>
  </w:p>
  <w:p w14:paraId="1BA94F32" w14:textId="77777777" w:rsidR="004A3F3B" w:rsidRPr="00AE6BBA" w:rsidRDefault="004A3F3B" w:rsidP="00530E8D">
    <w:pPr>
      <w:pStyle w:val="CDFuzeileS1"/>
    </w:pPr>
  </w:p>
  <w:p w14:paraId="494FF9EB"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1C339486" w14:textId="77777777" w:rsidR="004A3F3B" w:rsidRPr="00AE6BBA" w:rsidRDefault="004A3F3B" w:rsidP="00530E8D">
    <w:pPr>
      <w:pStyle w:val="CDFuzeileS1"/>
    </w:pPr>
    <w:r w:rsidRPr="00AE6BBA">
      <w:t>Lande</w:t>
    </w:r>
    <w:r>
      <w:t>shauptstadt Linz</w:t>
    </w:r>
    <w:r>
      <w:tab/>
      <w:t>4041 Linz</w:t>
    </w:r>
  </w:p>
  <w:p w14:paraId="01D59E98" w14:textId="77777777" w:rsidR="004A3F3B" w:rsidRPr="00AE6BBA" w:rsidRDefault="00E86352" w:rsidP="00530E8D">
    <w:pPr>
      <w:pStyle w:val="CDFuzeileS1"/>
    </w:pPr>
    <w:r>
      <w:t>Stadtklimatologie und</w:t>
    </w:r>
    <w:r w:rsidR="004A3F3B">
      <w:tab/>
    </w:r>
    <w:r w:rsidR="00AC1A2B">
      <w:t>ptu</w:t>
    </w:r>
    <w:r>
      <w:t>.sku</w:t>
    </w:r>
    <w:r w:rsidR="004A3F3B">
      <w:t>@mag.linz.at</w:t>
    </w:r>
  </w:p>
  <w:p w14:paraId="7B31CC63"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88B6" w14:textId="77777777" w:rsidR="00CB3E24" w:rsidRDefault="00CB3E24">
      <w:r>
        <w:separator/>
      </w:r>
    </w:p>
  </w:footnote>
  <w:footnote w:type="continuationSeparator" w:id="0">
    <w:p w14:paraId="0DB2A43C" w14:textId="77777777" w:rsidR="00CB3E24" w:rsidRDefault="00CB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F287" w14:textId="77777777" w:rsidR="00561AEA" w:rsidRDefault="00561AEA"/>
  <w:p w14:paraId="6C94FC68"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4611406D" wp14:editId="1EE15D75">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46CB0C66" wp14:editId="76A7760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9C2F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1168B820" wp14:editId="796C709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05763"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76C6BED"/>
    <w:multiLevelType w:val="hybridMultilevel"/>
    <w:tmpl w:val="3E1E4F32"/>
    <w:lvl w:ilvl="0" w:tplc="0C070001">
      <w:start w:val="1"/>
      <w:numFmt w:val="bullet"/>
      <w:lvlText w:val=""/>
      <w:lvlJc w:val="left"/>
      <w:pPr>
        <w:ind w:left="-676" w:hanging="360"/>
      </w:pPr>
      <w:rPr>
        <w:rFonts w:ascii="Symbol" w:hAnsi="Symbol" w:hint="default"/>
      </w:rPr>
    </w:lvl>
    <w:lvl w:ilvl="1" w:tplc="0C070003" w:tentative="1">
      <w:start w:val="1"/>
      <w:numFmt w:val="bullet"/>
      <w:lvlText w:val="o"/>
      <w:lvlJc w:val="left"/>
      <w:pPr>
        <w:ind w:left="44" w:hanging="360"/>
      </w:pPr>
      <w:rPr>
        <w:rFonts w:ascii="Courier New" w:hAnsi="Courier New" w:cs="Courier New" w:hint="default"/>
      </w:rPr>
    </w:lvl>
    <w:lvl w:ilvl="2" w:tplc="0C070005" w:tentative="1">
      <w:start w:val="1"/>
      <w:numFmt w:val="bullet"/>
      <w:lvlText w:val=""/>
      <w:lvlJc w:val="left"/>
      <w:pPr>
        <w:ind w:left="764" w:hanging="360"/>
      </w:pPr>
      <w:rPr>
        <w:rFonts w:ascii="Wingdings" w:hAnsi="Wingdings" w:hint="default"/>
      </w:rPr>
    </w:lvl>
    <w:lvl w:ilvl="3" w:tplc="0C070001" w:tentative="1">
      <w:start w:val="1"/>
      <w:numFmt w:val="bullet"/>
      <w:lvlText w:val=""/>
      <w:lvlJc w:val="left"/>
      <w:pPr>
        <w:ind w:left="1484" w:hanging="360"/>
      </w:pPr>
      <w:rPr>
        <w:rFonts w:ascii="Symbol" w:hAnsi="Symbol" w:hint="default"/>
      </w:rPr>
    </w:lvl>
    <w:lvl w:ilvl="4" w:tplc="0C070003" w:tentative="1">
      <w:start w:val="1"/>
      <w:numFmt w:val="bullet"/>
      <w:lvlText w:val="o"/>
      <w:lvlJc w:val="left"/>
      <w:pPr>
        <w:ind w:left="2204" w:hanging="360"/>
      </w:pPr>
      <w:rPr>
        <w:rFonts w:ascii="Courier New" w:hAnsi="Courier New" w:cs="Courier New" w:hint="default"/>
      </w:rPr>
    </w:lvl>
    <w:lvl w:ilvl="5" w:tplc="0C070005" w:tentative="1">
      <w:start w:val="1"/>
      <w:numFmt w:val="bullet"/>
      <w:lvlText w:val=""/>
      <w:lvlJc w:val="left"/>
      <w:pPr>
        <w:ind w:left="2924" w:hanging="360"/>
      </w:pPr>
      <w:rPr>
        <w:rFonts w:ascii="Wingdings" w:hAnsi="Wingdings" w:hint="default"/>
      </w:rPr>
    </w:lvl>
    <w:lvl w:ilvl="6" w:tplc="0C070001" w:tentative="1">
      <w:start w:val="1"/>
      <w:numFmt w:val="bullet"/>
      <w:lvlText w:val=""/>
      <w:lvlJc w:val="left"/>
      <w:pPr>
        <w:ind w:left="3644" w:hanging="360"/>
      </w:pPr>
      <w:rPr>
        <w:rFonts w:ascii="Symbol" w:hAnsi="Symbol" w:hint="default"/>
      </w:rPr>
    </w:lvl>
    <w:lvl w:ilvl="7" w:tplc="0C070003" w:tentative="1">
      <w:start w:val="1"/>
      <w:numFmt w:val="bullet"/>
      <w:lvlText w:val="o"/>
      <w:lvlJc w:val="left"/>
      <w:pPr>
        <w:ind w:left="4364" w:hanging="360"/>
      </w:pPr>
      <w:rPr>
        <w:rFonts w:ascii="Courier New" w:hAnsi="Courier New" w:cs="Courier New" w:hint="default"/>
      </w:rPr>
    </w:lvl>
    <w:lvl w:ilvl="8" w:tplc="0C070005" w:tentative="1">
      <w:start w:val="1"/>
      <w:numFmt w:val="bullet"/>
      <w:lvlText w:val=""/>
      <w:lvlJc w:val="left"/>
      <w:pPr>
        <w:ind w:left="5084" w:hanging="360"/>
      </w:pPr>
      <w:rPr>
        <w:rFonts w:ascii="Wingdings" w:hAnsi="Wingdings" w:hint="default"/>
      </w:rPr>
    </w:lvl>
  </w:abstractNum>
  <w:abstractNum w:abstractNumId="2" w15:restartNumberingAfterBreak="0">
    <w:nsid w:val="0A5349FC"/>
    <w:multiLevelType w:val="hybridMultilevel"/>
    <w:tmpl w:val="11AC697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80045AF"/>
    <w:multiLevelType w:val="hybridMultilevel"/>
    <w:tmpl w:val="FC9E05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6"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7"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9"/>
  </w:num>
  <w:num w:numId="6">
    <w:abstractNumId w:val="4"/>
  </w:num>
  <w:num w:numId="7">
    <w:abstractNumId w:val="5"/>
  </w:num>
  <w:num w:numId="8">
    <w:abstractNumId w:val="7"/>
  </w:num>
  <w:num w:numId="9">
    <w:abstractNumId w:val="0"/>
  </w:num>
  <w:num w:numId="10">
    <w:abstractNumId w:val="8"/>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krCyfFxms0OmMlPWStnPQiQtcgrAtS4UtPaabkV200BjMuGI/er26BizvPeme3JxnhwLTZBzqqpzHJ1M5IWuqQ==" w:salt="h4jLCgJy63Yeh6d+mc/Y1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24"/>
    <w:rsid w:val="000229ED"/>
    <w:rsid w:val="000324E5"/>
    <w:rsid w:val="000542DD"/>
    <w:rsid w:val="00055ADF"/>
    <w:rsid w:val="00061D79"/>
    <w:rsid w:val="00067BD5"/>
    <w:rsid w:val="000728CD"/>
    <w:rsid w:val="0007359E"/>
    <w:rsid w:val="000903D7"/>
    <w:rsid w:val="000B4E2E"/>
    <w:rsid w:val="001215D3"/>
    <w:rsid w:val="00150BA5"/>
    <w:rsid w:val="00166172"/>
    <w:rsid w:val="001934CF"/>
    <w:rsid w:val="001B5949"/>
    <w:rsid w:val="001F54AC"/>
    <w:rsid w:val="001F7495"/>
    <w:rsid w:val="00213EFE"/>
    <w:rsid w:val="00234818"/>
    <w:rsid w:val="0024029F"/>
    <w:rsid w:val="00252945"/>
    <w:rsid w:val="00301455"/>
    <w:rsid w:val="0031217C"/>
    <w:rsid w:val="0033455E"/>
    <w:rsid w:val="0037498D"/>
    <w:rsid w:val="003776FA"/>
    <w:rsid w:val="003E3D6E"/>
    <w:rsid w:val="0042271E"/>
    <w:rsid w:val="00443BB1"/>
    <w:rsid w:val="00452B4A"/>
    <w:rsid w:val="00470616"/>
    <w:rsid w:val="004743B9"/>
    <w:rsid w:val="00497266"/>
    <w:rsid w:val="004A3F3B"/>
    <w:rsid w:val="004B1941"/>
    <w:rsid w:val="004B47A2"/>
    <w:rsid w:val="004D1907"/>
    <w:rsid w:val="0052769E"/>
    <w:rsid w:val="00561AEA"/>
    <w:rsid w:val="005C60CD"/>
    <w:rsid w:val="005E6D58"/>
    <w:rsid w:val="0061223F"/>
    <w:rsid w:val="0066378F"/>
    <w:rsid w:val="00695C36"/>
    <w:rsid w:val="006B5FBF"/>
    <w:rsid w:val="006E660F"/>
    <w:rsid w:val="006F3C52"/>
    <w:rsid w:val="006F74FC"/>
    <w:rsid w:val="007011F6"/>
    <w:rsid w:val="00701917"/>
    <w:rsid w:val="00736EB2"/>
    <w:rsid w:val="00773B04"/>
    <w:rsid w:val="00777AE3"/>
    <w:rsid w:val="007B7D01"/>
    <w:rsid w:val="007B7F73"/>
    <w:rsid w:val="007D0A24"/>
    <w:rsid w:val="007D6B25"/>
    <w:rsid w:val="0080734B"/>
    <w:rsid w:val="0082601D"/>
    <w:rsid w:val="0086464F"/>
    <w:rsid w:val="00874E88"/>
    <w:rsid w:val="00896E5C"/>
    <w:rsid w:val="008D2B7C"/>
    <w:rsid w:val="008F0E2A"/>
    <w:rsid w:val="009A525A"/>
    <w:rsid w:val="009C4DF0"/>
    <w:rsid w:val="009E57AE"/>
    <w:rsid w:val="00A477F2"/>
    <w:rsid w:val="00A72BD7"/>
    <w:rsid w:val="00AB0FBA"/>
    <w:rsid w:val="00AC1A2B"/>
    <w:rsid w:val="00AF09C0"/>
    <w:rsid w:val="00B046F7"/>
    <w:rsid w:val="00B10E77"/>
    <w:rsid w:val="00B220DF"/>
    <w:rsid w:val="00B4718C"/>
    <w:rsid w:val="00B9526F"/>
    <w:rsid w:val="00BA2E43"/>
    <w:rsid w:val="00BC2BD7"/>
    <w:rsid w:val="00BC3AD3"/>
    <w:rsid w:val="00BD553B"/>
    <w:rsid w:val="00BF1A44"/>
    <w:rsid w:val="00C21477"/>
    <w:rsid w:val="00C355BA"/>
    <w:rsid w:val="00C4112E"/>
    <w:rsid w:val="00CA58F2"/>
    <w:rsid w:val="00CB3E24"/>
    <w:rsid w:val="00D04CE3"/>
    <w:rsid w:val="00D07244"/>
    <w:rsid w:val="00D112BA"/>
    <w:rsid w:val="00D24E92"/>
    <w:rsid w:val="00D34273"/>
    <w:rsid w:val="00D5039D"/>
    <w:rsid w:val="00D56A53"/>
    <w:rsid w:val="00D8071C"/>
    <w:rsid w:val="00DC4C69"/>
    <w:rsid w:val="00E025AF"/>
    <w:rsid w:val="00E05871"/>
    <w:rsid w:val="00E169E3"/>
    <w:rsid w:val="00E31FFD"/>
    <w:rsid w:val="00E553B1"/>
    <w:rsid w:val="00E7466C"/>
    <w:rsid w:val="00E777E8"/>
    <w:rsid w:val="00E8635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eaeaea,#f7f7f7,#fafafa,#fcc,#fcfcfc,#f9f9f9,#f8f8f8"/>
    </o:shapedefaults>
    <o:shapelayout v:ext="edit">
      <o:idmap v:ext="edit" data="1"/>
    </o:shapelayout>
  </w:shapeDefaults>
  <w:decimalSymbol w:val=","/>
  <w:listSeparator w:val=";"/>
  <w14:docId w14:val="633DBE2A"/>
  <w15:docId w15:val="{F55720D5-AA1A-4719-A429-B47AF05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9E57AE"/>
    <w:rPr>
      <w:rFonts w:ascii="Trade Gothic Next LT Pro" w:hAnsi="Trade Gothic Next LT Pro" w:cs="Trade Gothic Next LT Pro"/>
      <w:color w:val="221E1F"/>
      <w:sz w:val="18"/>
      <w:szCs w:val="18"/>
    </w:rPr>
  </w:style>
  <w:style w:type="paragraph" w:customStyle="1" w:styleId="Default">
    <w:name w:val="Default"/>
    <w:rsid w:val="009E57AE"/>
    <w:pPr>
      <w:autoSpaceDE w:val="0"/>
      <w:autoSpaceDN w:val="0"/>
      <w:adjustRightInd w:val="0"/>
    </w:pPr>
    <w:rPr>
      <w:rFonts w:ascii="Trade Gothic Next LT Pro Lt" w:eastAsia="Arial" w:hAnsi="Trade Gothic Next LT Pro Lt" w:cs="Trade Gothic Next LT Pro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http://www.betrieblicheumweltoffensive.at/" TargetMode="External" Type="http://schemas.openxmlformats.org/officeDocument/2006/relationships/hyperlink"/><Relationship Id="rId14" Target="http://www.betrieblicheumweltoffensive.at/" TargetMode="External" Type="http://schemas.openxmlformats.org/officeDocument/2006/relationships/hyperlink"/><Relationship Id="rId15" Target="mailto:ptu.sku@mag.linz.at"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linz.at/umwelt/foerderungen.php" TargetMode="External" Type="http://schemas.openxmlformats.org/officeDocument/2006/relationships/hyperlink"/><Relationship Id="rId9" Target="mailto:datenschutz@mag.linz.at"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1550-3921-41F8-9845-57C30008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1101</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2022-04-22T08:47:00Z</dcterms:created>
  <dc:creator>www.linz.at / Service A-Z</dc:creator>
  <cp:lastModifiedBy>Magistrat Linz</cp:lastModifiedBy>
  <cp:lastPrinted>2008-03-28T11:31:00Z</cp:lastPrinted>
  <dcterms:modified xsi:type="dcterms:W3CDTF">2022-07-01T04:54:29Z</dcterms:modified>
  <cp:revision>5</cp:revision>
  <dc:title>Betriebliche Mobilitätsberatung - Antragsformular</dc:title>
</cp:coreProperties>
</file>